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7BF5" w14:textId="260933C4" w:rsidR="005B3C14" w:rsidRPr="005C64B2" w:rsidRDefault="005C64B2" w:rsidP="005C64B2">
      <w:pPr>
        <w:pStyle w:val="Titrededocument"/>
      </w:pPr>
      <w:r w:rsidRPr="005C64B2">
        <w:t>Centrales nucléaires au-delà de 40 ans : l’avis de la CLI de Golfech sur le projet de décision de l’ASNR</w:t>
      </w:r>
    </w:p>
    <w:p w14:paraId="3AAAF848" w14:textId="77777777" w:rsidR="00F764B4" w:rsidRDefault="00F764B4"/>
    <w:p w14:paraId="4292C260" w14:textId="636D9BD6" w:rsidR="00F764B4" w:rsidRPr="005C64B2" w:rsidRDefault="00916230" w:rsidP="00B727C2">
      <w:pPr>
        <w:pStyle w:val="Titre2"/>
        <w:jc w:val="both"/>
      </w:pPr>
      <w:r w:rsidRPr="005C64B2">
        <w:t>Avis sur la c</w:t>
      </w:r>
      <w:r w:rsidR="006B7060" w:rsidRPr="005C64B2">
        <w:t>onsultation du grand public</w:t>
      </w:r>
    </w:p>
    <w:p w14:paraId="6FD3D863" w14:textId="3FCEF4B8" w:rsidR="006B7060" w:rsidRDefault="006B7060" w:rsidP="00B727C2">
      <w:pPr>
        <w:pStyle w:val="Paragraphedeliste"/>
        <w:numPr>
          <w:ilvl w:val="0"/>
          <w:numId w:val="6"/>
        </w:numPr>
        <w:jc w:val="both"/>
      </w:pPr>
      <w:r>
        <w:t>Le dispositif national de concertation du grand public, la participation de la Commission Nationale des Débats Publiques, les multiples webinaires thématiques… ont permis de créer des espaces d’échanges avec le grand public, au bénéfice de la transparence de l’information.</w:t>
      </w:r>
    </w:p>
    <w:p w14:paraId="3757CFF7" w14:textId="09F0C4E9" w:rsidR="00916230" w:rsidRDefault="00916230" w:rsidP="00B727C2">
      <w:pPr>
        <w:pStyle w:val="Paragraphedeliste"/>
        <w:numPr>
          <w:ilvl w:val="0"/>
          <w:numId w:val="6"/>
        </w:numPr>
        <w:jc w:val="both"/>
      </w:pPr>
      <w:r>
        <w:t>Document synthétique de présentation du projet de décision de l’ASNR très bien conçu et rédigé.</w:t>
      </w:r>
    </w:p>
    <w:p w14:paraId="5028FF23" w14:textId="2CE70A96" w:rsidR="006B7060" w:rsidRDefault="00916230" w:rsidP="00B727C2">
      <w:pPr>
        <w:pStyle w:val="Paragraphedeliste"/>
        <w:numPr>
          <w:ilvl w:val="0"/>
          <w:numId w:val="6"/>
        </w:numPr>
        <w:jc w:val="both"/>
      </w:pPr>
      <w:r>
        <w:t>Mais l</w:t>
      </w:r>
      <w:r w:rsidR="006B7060">
        <w:t xml:space="preserve">a durée de la consultation publique </w:t>
      </w:r>
      <w:r w:rsidR="000F4D87">
        <w:t>sur le projet de décision de l’ASNR (</w:t>
      </w:r>
      <w:r w:rsidR="006B7060">
        <w:t xml:space="preserve">1 mois) </w:t>
      </w:r>
      <w:r w:rsidR="000F4D87">
        <w:t xml:space="preserve">est </w:t>
      </w:r>
      <w:r w:rsidR="006B7060">
        <w:t>trop cour</w:t>
      </w:r>
      <w:r w:rsidR="000F4D87">
        <w:t>te</w:t>
      </w:r>
      <w:r>
        <w:t>.</w:t>
      </w:r>
    </w:p>
    <w:p w14:paraId="2F87C648" w14:textId="77777777" w:rsidR="00FA076B" w:rsidRDefault="00FA076B" w:rsidP="00B727C2">
      <w:pPr>
        <w:jc w:val="both"/>
      </w:pPr>
    </w:p>
    <w:p w14:paraId="3644D560" w14:textId="126B8AB2" w:rsidR="00916230" w:rsidRPr="00CB0197" w:rsidRDefault="00916230" w:rsidP="00CB0197">
      <w:pPr>
        <w:pStyle w:val="Titre1"/>
      </w:pPr>
      <w:r w:rsidRPr="00CB0197">
        <w:t>Avis technique</w:t>
      </w:r>
    </w:p>
    <w:p w14:paraId="1012FD81" w14:textId="77777777" w:rsidR="005C64B2" w:rsidRDefault="00916230" w:rsidP="00B727C2">
      <w:pPr>
        <w:jc w:val="both"/>
      </w:pPr>
      <w:r>
        <w:t xml:space="preserve">Les réponses techniques d’EDF et les prescriptions de l’ASNR permettent </w:t>
      </w:r>
      <w:r w:rsidRPr="00BB212E">
        <w:rPr>
          <w:i/>
          <w:iCs/>
        </w:rPr>
        <w:t>a priori</w:t>
      </w:r>
      <w:r>
        <w:t xml:space="preserve"> de considérer que l’objectif de tendre vers le niveau de sûreté des réacteurs de 3</w:t>
      </w:r>
      <w:r w:rsidRPr="00916230">
        <w:rPr>
          <w:vertAlign w:val="superscript"/>
        </w:rPr>
        <w:t>ème</w:t>
      </w:r>
      <w:r>
        <w:t xml:space="preserve"> génération (EPR, EPR 2) sera atteint, avec un point d’orgue concernant la réduction du risque de rejets radioactifs dans l’environnement en cas d’accident.</w:t>
      </w:r>
    </w:p>
    <w:p w14:paraId="1C67F63F" w14:textId="77777777" w:rsidR="005C64B2" w:rsidRDefault="005C64B2" w:rsidP="00B727C2">
      <w:pPr>
        <w:jc w:val="both"/>
      </w:pPr>
    </w:p>
    <w:p w14:paraId="25C2C4C8" w14:textId="65E93BC8" w:rsidR="00916230" w:rsidRDefault="00532202" w:rsidP="00B727C2">
      <w:pPr>
        <w:jc w:val="both"/>
      </w:pPr>
      <w:r>
        <w:t>Cependant,</w:t>
      </w:r>
      <w:r w:rsidR="00916230">
        <w:t xml:space="preserve"> la CLI de Golfech demande plus de précisions sur :</w:t>
      </w:r>
    </w:p>
    <w:p w14:paraId="3AFDB541" w14:textId="5E9BE9BD" w:rsidR="00FA076B" w:rsidRDefault="00FA076B" w:rsidP="00B727C2">
      <w:pPr>
        <w:pStyle w:val="Paragraphedeliste"/>
        <w:numPr>
          <w:ilvl w:val="0"/>
          <w:numId w:val="7"/>
        </w:numPr>
        <w:jc w:val="both"/>
      </w:pPr>
      <w:r>
        <w:t>Les Facteurs Sociaux, Organisationnels et Humains, qui apparaissent très peu dans le projet de décision de l’ASNR. Comment EDF va-t-il intégré les FSOH pour la réalisation des 4</w:t>
      </w:r>
      <w:r w:rsidRPr="005C64B2">
        <w:rPr>
          <w:vertAlign w:val="superscript"/>
        </w:rPr>
        <w:t>ème</w:t>
      </w:r>
      <w:r>
        <w:t xml:space="preserve"> visites décennales des réacteurs de 1 300 </w:t>
      </w:r>
      <w:r w:rsidR="00746EB8">
        <w:t>MW</w:t>
      </w:r>
      <w:r>
        <w:t> ?</w:t>
      </w:r>
    </w:p>
    <w:p w14:paraId="42717221" w14:textId="375A4566" w:rsidR="00FA076B" w:rsidRDefault="00FA076B" w:rsidP="00B727C2">
      <w:pPr>
        <w:pStyle w:val="Paragraphedeliste"/>
        <w:numPr>
          <w:ilvl w:val="0"/>
          <w:numId w:val="7"/>
        </w:numPr>
        <w:jc w:val="both"/>
      </w:pPr>
      <w:r>
        <w:t xml:space="preserve">La prise en compte des agressions externes nouvelles, comme la possibilité d’attaque par un ou des </w:t>
      </w:r>
      <w:r w:rsidR="00916230">
        <w:t xml:space="preserve">petits </w:t>
      </w:r>
      <w:r>
        <w:t>drones armés de charges explosives</w:t>
      </w:r>
      <w:r w:rsidR="00916230">
        <w:t>.</w:t>
      </w:r>
    </w:p>
    <w:p w14:paraId="4D920DC2" w14:textId="6D3A7FEC" w:rsidR="002235F7" w:rsidRDefault="002235F7" w:rsidP="00B727C2">
      <w:pPr>
        <w:pStyle w:val="Paragraphedeliste"/>
        <w:numPr>
          <w:ilvl w:val="0"/>
          <w:numId w:val="7"/>
        </w:numPr>
        <w:jc w:val="both"/>
      </w:pPr>
      <w:r>
        <w:t xml:space="preserve">Le seuil des 40 ans correspond-t-il à 40 années depuis le premier démarrage ou à 40 années d’exploitation effectives, en retranchant les temps d’arrêts d’un réacteur ? </w:t>
      </w:r>
    </w:p>
    <w:p w14:paraId="6813DF7D" w14:textId="307217F7" w:rsidR="00916230" w:rsidRDefault="005C64B2" w:rsidP="00B727C2">
      <w:pPr>
        <w:pStyle w:val="Paragraphedeliste"/>
        <w:numPr>
          <w:ilvl w:val="0"/>
          <w:numId w:val="7"/>
        </w:numPr>
        <w:jc w:val="both"/>
      </w:pPr>
      <w:r>
        <w:t>Dans le document de synthèse à destination du grand public, l</w:t>
      </w:r>
      <w:r w:rsidR="00916230">
        <w:t>a partie « protection de l’environnement »</w:t>
      </w:r>
      <w:r>
        <w:t xml:space="preserve"> apporte peu de précisions sur les évolutions de la surveillance environnementale d’EDF, ce qui nécessite de se plonger dans un document technique de plus de 200 pages pour avoir des éléments de réponses. Vous trouverez en annexe l’ensemble des questions que la CLI de Golfech se pose sur les conditions de prolongation des réacteurs de 1 300 </w:t>
      </w:r>
      <w:proofErr w:type="spellStart"/>
      <w:r>
        <w:t>Mw</w:t>
      </w:r>
      <w:proofErr w:type="spellEnd"/>
      <w:r>
        <w:t xml:space="preserve"> au-delà </w:t>
      </w:r>
      <w:r w:rsidR="002235F7">
        <w:t>des 40 ans</w:t>
      </w:r>
      <w:r>
        <w:t>.</w:t>
      </w:r>
    </w:p>
    <w:p w14:paraId="3FD82541" w14:textId="77777777" w:rsidR="005C64B2" w:rsidRDefault="005C64B2"/>
    <w:p w14:paraId="19E0318B" w14:textId="77777777" w:rsidR="005C64B2" w:rsidRDefault="005C64B2"/>
    <w:p w14:paraId="05CD86A9" w14:textId="77777777" w:rsidR="00CB0197" w:rsidRDefault="00CB0197" w:rsidP="00CB0197">
      <w:pPr>
        <w:pStyle w:val="Titrededocument"/>
      </w:pPr>
      <w:r>
        <w:t>Questions et avis des membres de la CLI de Golfech</w:t>
      </w:r>
    </w:p>
    <w:p w14:paraId="62AA0F9C" w14:textId="77777777" w:rsidR="00CB0197" w:rsidRDefault="00CB0197"/>
    <w:p w14:paraId="34FAE2DD" w14:textId="77777777" w:rsidR="00CB0197" w:rsidRDefault="00CB0197" w:rsidP="00CB0197">
      <w:pPr>
        <w:pStyle w:val="Titre1"/>
      </w:pPr>
      <w:r>
        <w:t>Anne LOUBRIAT – représentante syndicale CGT 47</w:t>
      </w:r>
    </w:p>
    <w:p w14:paraId="6A447D7F" w14:textId="77777777" w:rsidR="00CB0197" w:rsidRDefault="00CB0197" w:rsidP="00CB0197"/>
    <w:p w14:paraId="1B08DCE5" w14:textId="49CD7669" w:rsidR="00CB0197" w:rsidRPr="00CB0197" w:rsidRDefault="00CB0197" w:rsidP="00CB0197">
      <w:r w:rsidRPr="00CB0197">
        <w:lastRenderedPageBreak/>
        <w:t>Bonjour,</w:t>
      </w:r>
    </w:p>
    <w:p w14:paraId="3E0F0280" w14:textId="77777777" w:rsidR="00CB0197" w:rsidRPr="00CB0197" w:rsidRDefault="00CB0197" w:rsidP="00CB0197"/>
    <w:p w14:paraId="60DFC303" w14:textId="5C2768F1" w:rsidR="00CB0197" w:rsidRPr="00CB0197" w:rsidRDefault="00CB0197" w:rsidP="00CB0197">
      <w:r w:rsidRPr="00CB0197">
        <w:t xml:space="preserve">Mon interrogation porte sur l'impact des rejets polluants en Garonne qui fait partie des 70% des rivières françaises en mauvais </w:t>
      </w:r>
      <w:r w:rsidRPr="00CB0197">
        <w:t>état.</w:t>
      </w:r>
    </w:p>
    <w:p w14:paraId="0349341E" w14:textId="74243FF6" w:rsidR="00CB0197" w:rsidRPr="00CB0197" w:rsidRDefault="00CB0197" w:rsidP="00CB0197">
      <w:r w:rsidRPr="00CB0197">
        <w:t xml:space="preserve">Elle porte également sur les risques de </w:t>
      </w:r>
      <w:r w:rsidRPr="00CB0197">
        <w:t>sur pollution</w:t>
      </w:r>
      <w:r w:rsidRPr="00CB0197">
        <w:t xml:space="preserve"> par manque de dilution pendant les périodes d'étiage dont tous les spécialistes s'accordent à dire qu'elles seront plus intenses et </w:t>
      </w:r>
      <w:r w:rsidRPr="00CB0197">
        <w:t>longues.</w:t>
      </w:r>
    </w:p>
    <w:p w14:paraId="2A611733" w14:textId="47615766" w:rsidR="00CB0197" w:rsidRPr="00CB0197" w:rsidRDefault="00CB0197" w:rsidP="00CB0197">
      <w:r w:rsidRPr="00CB0197">
        <w:t>Que boirons nous donc et que ferons</w:t>
      </w:r>
      <w:r>
        <w:t>-</w:t>
      </w:r>
      <w:r w:rsidRPr="00CB0197">
        <w:t>nous boire à nos enfants ?</w:t>
      </w:r>
    </w:p>
    <w:p w14:paraId="69C3D120" w14:textId="37ECC223" w:rsidR="00CB0197" w:rsidRPr="00CB0197" w:rsidRDefault="00CB0197" w:rsidP="00CB0197">
      <w:r w:rsidRPr="00CB0197">
        <w:t xml:space="preserve">Je m'étonne qu'à l'époque de ces grands projets technologiques et </w:t>
      </w:r>
      <w:r w:rsidRPr="00CB0197">
        <w:t>énergétiques,</w:t>
      </w:r>
      <w:r w:rsidRPr="00CB0197">
        <w:t xml:space="preserve"> nous ne soyons pas encore capables d'assurer 0 pollution au sortir des centrales...</w:t>
      </w:r>
    </w:p>
    <w:p w14:paraId="183AA20D" w14:textId="1EC76824" w:rsidR="00CB0197" w:rsidRPr="00CB0197" w:rsidRDefault="00CB0197" w:rsidP="00CB0197">
      <w:r w:rsidRPr="00CB0197">
        <w:t>Donc,</w:t>
      </w:r>
      <w:r w:rsidRPr="00CB0197">
        <w:t xml:space="preserve"> les projets de réutilisation d'eaux </w:t>
      </w:r>
      <w:r w:rsidRPr="00CB0197">
        <w:t>usées</w:t>
      </w:r>
      <w:r w:rsidRPr="00CB0197">
        <w:t xml:space="preserve"> n'étant pas encore </w:t>
      </w:r>
      <w:r w:rsidRPr="00CB0197">
        <w:t>opérationnels,</w:t>
      </w:r>
      <w:r w:rsidRPr="00CB0197">
        <w:t xml:space="preserve"> au contraire du </w:t>
      </w:r>
      <w:r w:rsidRPr="00CB0197">
        <w:t>dérèglement</w:t>
      </w:r>
      <w:r w:rsidRPr="00CB0197">
        <w:t xml:space="preserve"> </w:t>
      </w:r>
      <w:r w:rsidRPr="00CB0197">
        <w:t>climatique,</w:t>
      </w:r>
      <w:r w:rsidRPr="00CB0197">
        <w:t xml:space="preserve"> il faudra bien informer la population que si elle ne restreint pas ses </w:t>
      </w:r>
      <w:r w:rsidRPr="00CB0197">
        <w:t>usages,</w:t>
      </w:r>
      <w:r w:rsidRPr="00CB0197">
        <w:t xml:space="preserve"> elle aura le choix entre s'empoisonner un peu plus ou ne plus avoir </w:t>
      </w:r>
      <w:r w:rsidRPr="00CB0197">
        <w:t>d’électricité.</w:t>
      </w:r>
    </w:p>
    <w:p w14:paraId="1C679601" w14:textId="77777777" w:rsidR="00CB0197" w:rsidRPr="00CB0197" w:rsidRDefault="00CB0197" w:rsidP="00CB0197">
      <w:r w:rsidRPr="00CB0197">
        <w:t>Qui le dira ? Qui en aura le courage ? Qui soignera ?</w:t>
      </w:r>
    </w:p>
    <w:p w14:paraId="4CF27091" w14:textId="320E73BD" w:rsidR="00CB0197" w:rsidRPr="00CB0197" w:rsidRDefault="00CB0197" w:rsidP="00CB0197">
      <w:r w:rsidRPr="00CB0197">
        <w:t xml:space="preserve">Qui fera le lien avec le bilan de la gestion des déchets </w:t>
      </w:r>
      <w:r w:rsidRPr="00CB0197">
        <w:t>radioactifs, et</w:t>
      </w:r>
      <w:r w:rsidRPr="00CB0197">
        <w:t xml:space="preserve"> le lien avec les extractions d'uranium en Afrique ou ailleurs ?</w:t>
      </w:r>
    </w:p>
    <w:p w14:paraId="0BD53A1A" w14:textId="77777777" w:rsidR="00CB0197" w:rsidRPr="00CB0197" w:rsidRDefault="00CB0197" w:rsidP="00CB0197">
      <w:r w:rsidRPr="00CB0197">
        <w:t xml:space="preserve">Qui en parle ? </w:t>
      </w:r>
    </w:p>
    <w:p w14:paraId="0E22BF9B" w14:textId="654B1F20" w:rsidR="00CB0197" w:rsidRPr="00CB0197" w:rsidRDefault="00CB0197" w:rsidP="00CB0197">
      <w:r w:rsidRPr="00CB0197">
        <w:t xml:space="preserve">Ensuite je souhaiterai que des salariés des centrales soient systématiquement présents lors des bilans ou des commissions sur l'organisation du travail, pour que nous en ayons toutes les </w:t>
      </w:r>
      <w:r w:rsidRPr="00CB0197">
        <w:t>versions.</w:t>
      </w:r>
    </w:p>
    <w:p w14:paraId="661D4DB6" w14:textId="1AD136EF" w:rsidR="00CB0197" w:rsidRPr="00CB0197" w:rsidRDefault="00CB0197" w:rsidP="00CB0197">
      <w:r w:rsidRPr="00CB0197">
        <w:t xml:space="preserve">Et enfin quelle est la portée </w:t>
      </w:r>
      <w:r w:rsidRPr="00CB0197">
        <w:t>réelle</w:t>
      </w:r>
      <w:r w:rsidRPr="00CB0197">
        <w:t xml:space="preserve"> de ce type de consultation dont on sait que les décisions sont d'ores et déjà prises dans le sens de prolongations bien supérieures à 40 ans ?</w:t>
      </w:r>
    </w:p>
    <w:p w14:paraId="6B1CA4E1" w14:textId="77777777" w:rsidR="00CB0197" w:rsidRPr="00CB0197" w:rsidRDefault="00CB0197" w:rsidP="00CB0197"/>
    <w:p w14:paraId="44EE378F" w14:textId="7CC23205" w:rsidR="00CB0197" w:rsidRPr="00CB0197" w:rsidRDefault="00CB0197" w:rsidP="00CB0197">
      <w:r w:rsidRPr="00CB0197">
        <w:t>Merci,</w:t>
      </w:r>
      <w:r w:rsidRPr="00CB0197">
        <w:t xml:space="preserve"> cordialement,</w:t>
      </w:r>
    </w:p>
    <w:p w14:paraId="01D6517A" w14:textId="77777777" w:rsidR="00CB0197" w:rsidRPr="00CB0197" w:rsidRDefault="00CB0197" w:rsidP="00CB0197"/>
    <w:p w14:paraId="160077B6" w14:textId="77777777" w:rsidR="00CB0197" w:rsidRPr="00CB0197" w:rsidRDefault="00CB0197" w:rsidP="00CB0197">
      <w:r w:rsidRPr="00CB0197">
        <w:t xml:space="preserve">Anne </w:t>
      </w:r>
      <w:proofErr w:type="spellStart"/>
      <w:r w:rsidRPr="00CB0197">
        <w:t>Loubriat</w:t>
      </w:r>
      <w:proofErr w:type="spellEnd"/>
    </w:p>
    <w:p w14:paraId="2B5D88E7" w14:textId="685C38C6" w:rsidR="005C64B2" w:rsidRDefault="005C64B2">
      <w:r>
        <w:br w:type="page"/>
      </w:r>
    </w:p>
    <w:p w14:paraId="50B90CEE" w14:textId="75D5EFCD" w:rsidR="005C64B2" w:rsidRDefault="005C64B2" w:rsidP="00B727C2">
      <w:pPr>
        <w:pStyle w:val="Titrededocument"/>
        <w:jc w:val="both"/>
      </w:pPr>
      <w:r>
        <w:lastRenderedPageBreak/>
        <w:t xml:space="preserve">Annexe : questions techniques de la CLI de Golfech sur les conditions de prolongation des réacteurs de 1 300 </w:t>
      </w:r>
      <w:proofErr w:type="spellStart"/>
      <w:r>
        <w:t>Mw</w:t>
      </w:r>
      <w:proofErr w:type="spellEnd"/>
      <w:r>
        <w:t xml:space="preserve"> au-delà de 40 années d’exploitation.</w:t>
      </w:r>
    </w:p>
    <w:p w14:paraId="414B039A" w14:textId="77777777" w:rsidR="005C64B2" w:rsidRDefault="005C64B2" w:rsidP="00B727C2">
      <w:pPr>
        <w:jc w:val="both"/>
      </w:pPr>
    </w:p>
    <w:p w14:paraId="7D6C0DBC" w14:textId="3FB26E53" w:rsidR="0041091E" w:rsidRPr="0041091E" w:rsidRDefault="0041091E" w:rsidP="00B727C2">
      <w:pPr>
        <w:pStyle w:val="Standard"/>
        <w:jc w:val="both"/>
        <w:rPr>
          <w:rFonts w:ascii="Avenir Next LT Pro" w:hAnsi="Avenir Next LT Pro"/>
          <w:b/>
          <w:bCs/>
          <w:u w:val="single"/>
        </w:rPr>
      </w:pPr>
      <w:r w:rsidRPr="0041091E">
        <w:rPr>
          <w:rFonts w:ascii="Avenir Next LT Pro" w:hAnsi="Avenir Next LT Pro"/>
          <w:b/>
          <w:bCs/>
          <w:u w:val="single"/>
        </w:rPr>
        <w:t xml:space="preserve">Lectures de V ROSSETTO et commentaires sur le projet de DECISION 2025-DC-xxxx de l’ASNR de juin 2025 fixant à la société EDF les prescriptions applicables aux réacteurs des centrales nucléaires de </w:t>
      </w:r>
      <w:r w:rsidR="00B727C2">
        <w:rPr>
          <w:rFonts w:ascii="Avenir Next LT Pro" w:hAnsi="Avenir Next LT Pro"/>
          <w:b/>
          <w:bCs/>
          <w:u w:val="single"/>
        </w:rPr>
        <w:t xml:space="preserve">… </w:t>
      </w:r>
      <w:r w:rsidRPr="0041091E">
        <w:rPr>
          <w:rFonts w:ascii="Avenir Next LT Pro" w:hAnsi="Avenir Next LT Pro"/>
          <w:b/>
          <w:bCs/>
          <w:u w:val="single"/>
        </w:rPr>
        <w:t>et les conclusions de la phase générique de leur quatrième réexamen périodique :</w:t>
      </w:r>
    </w:p>
    <w:p w14:paraId="3557ECB1" w14:textId="77777777" w:rsidR="0041091E" w:rsidRPr="0041091E" w:rsidRDefault="0041091E" w:rsidP="00B727C2">
      <w:pPr>
        <w:pStyle w:val="Standard"/>
        <w:jc w:val="both"/>
        <w:rPr>
          <w:rFonts w:ascii="Avenir Next LT Pro" w:hAnsi="Avenir Next LT Pro"/>
        </w:rPr>
      </w:pPr>
    </w:p>
    <w:p w14:paraId="31D1EF5D" w14:textId="77777777" w:rsidR="0041091E" w:rsidRPr="0041091E" w:rsidRDefault="0041091E" w:rsidP="00B727C2">
      <w:pPr>
        <w:pStyle w:val="Standard"/>
        <w:jc w:val="both"/>
        <w:rPr>
          <w:rFonts w:ascii="Avenir Next LT Pro" w:hAnsi="Avenir Next LT Pro"/>
          <w:b/>
          <w:bCs/>
          <w:lang w:eastAsia="en-US"/>
        </w:rPr>
      </w:pPr>
    </w:p>
    <w:p w14:paraId="092024D6" w14:textId="50D90CEE" w:rsidR="0041091E" w:rsidRPr="0041091E" w:rsidRDefault="0041091E" w:rsidP="00B727C2">
      <w:pPr>
        <w:pStyle w:val="Standard"/>
        <w:jc w:val="both"/>
        <w:rPr>
          <w:rFonts w:ascii="Avenir Next LT Pro" w:hAnsi="Avenir Next LT Pro"/>
        </w:rPr>
      </w:pPr>
      <w:r w:rsidRPr="0041091E">
        <w:rPr>
          <w:rFonts w:ascii="Avenir Next LT Pro" w:hAnsi="Avenir Next LT Pro"/>
          <w:b/>
          <w:bCs/>
          <w:lang w:eastAsia="en-US"/>
        </w:rPr>
        <w:t>Dans le projet de Décision ASNR2025 et particulièrement dans son annexe :</w:t>
      </w:r>
    </w:p>
    <w:p w14:paraId="3131D3C0" w14:textId="77777777" w:rsidR="0041091E" w:rsidRDefault="0041091E" w:rsidP="00B727C2">
      <w:pPr>
        <w:pStyle w:val="Paragraphedeliste"/>
        <w:jc w:val="both"/>
      </w:pPr>
    </w:p>
    <w:p w14:paraId="5F953474" w14:textId="1C4CEEE9" w:rsidR="0041091E" w:rsidRDefault="0041091E" w:rsidP="00B727C2">
      <w:pPr>
        <w:suppressAutoHyphens/>
        <w:autoSpaceDN w:val="0"/>
        <w:jc w:val="both"/>
      </w:pPr>
      <w:r w:rsidRPr="0041091E">
        <w:rPr>
          <w:rFonts w:eastAsia="Times New Roman"/>
          <w:u w:val="single"/>
        </w:rPr>
        <w:t xml:space="preserve">Page 7- Au chapitre </w:t>
      </w:r>
      <w:r w:rsidRPr="0041091E">
        <w:rPr>
          <w:rFonts w:eastAsia="Times New Roman"/>
          <w:i/>
          <w:iCs/>
          <w:u w:val="single"/>
        </w:rPr>
        <w:t>« Risques associés aux agressions » / Aléas associés au températures extérieures</w:t>
      </w:r>
      <w:r w:rsidRPr="0041091E">
        <w:rPr>
          <w:rFonts w:eastAsia="Times New Roman"/>
          <w:u w:val="single"/>
        </w:rPr>
        <w:t> : « </w:t>
      </w:r>
      <w:r w:rsidRPr="0041091E">
        <w:rPr>
          <w:rFonts w:eastAsia="Times New Roman"/>
          <w:i/>
          <w:iCs/>
          <w:u w:val="single"/>
        </w:rPr>
        <w:t xml:space="preserve">l’exploitant retient dans son référentiel « grands chauds », </w:t>
      </w:r>
      <w:r w:rsidRPr="0041091E">
        <w:rPr>
          <w:rFonts w:eastAsia="Times New Roman"/>
          <w:i/>
          <w:iCs/>
        </w:rPr>
        <w:t xml:space="preserve">des températures extrêmes TE et </w:t>
      </w:r>
      <w:proofErr w:type="spellStart"/>
      <w:r w:rsidRPr="0041091E">
        <w:rPr>
          <w:rFonts w:eastAsia="Times New Roman"/>
          <w:i/>
          <w:iCs/>
        </w:rPr>
        <w:t>Tmin</w:t>
      </w:r>
      <w:proofErr w:type="spellEnd"/>
      <w:r w:rsidRPr="0041091E">
        <w:rPr>
          <w:rFonts w:eastAsia="Times New Roman"/>
          <w:i/>
          <w:iCs/>
        </w:rPr>
        <w:t xml:space="preserve"> associées à la canicule, définies en considérant : une fréquence de dépassement annuelle inférieure ou égale à 0.01 (borne supérieure de l’intervalle de confiance à 70%) intégrant l’évolution climatique jusqu’au réexamen périodique suivant</w:t>
      </w:r>
      <w:r w:rsidRPr="0041091E">
        <w:rPr>
          <w:rFonts w:eastAsia="Times New Roman"/>
        </w:rPr>
        <w:t>. »</w:t>
      </w:r>
    </w:p>
    <w:p w14:paraId="7A0A3FD2" w14:textId="77777777" w:rsidR="0041091E" w:rsidRDefault="0041091E" w:rsidP="00B727C2">
      <w:pPr>
        <w:pStyle w:val="Paragraphedeliste"/>
        <w:ind w:left="1440"/>
        <w:jc w:val="both"/>
      </w:pPr>
    </w:p>
    <w:p w14:paraId="763F5AE4" w14:textId="253EE04B" w:rsidR="0041091E" w:rsidRDefault="0041091E" w:rsidP="00B727C2">
      <w:pPr>
        <w:pStyle w:val="Paragraphedeliste"/>
        <w:numPr>
          <w:ilvl w:val="0"/>
          <w:numId w:val="12"/>
        </w:numPr>
        <w:suppressAutoHyphens/>
        <w:autoSpaceDN w:val="0"/>
        <w:jc w:val="both"/>
      </w:pPr>
      <w:r w:rsidRPr="0041091E">
        <w:rPr>
          <w:rFonts w:eastAsia="Times New Roman"/>
          <w:b/>
          <w:bCs/>
        </w:rPr>
        <w:t>Question :</w:t>
      </w:r>
      <w:r w:rsidRPr="0041091E">
        <w:rPr>
          <w:rFonts w:eastAsia="Times New Roman"/>
        </w:rPr>
        <w:t xml:space="preserve"> Faut-il comprendre qu’EDF pourra dépasser la température extrême TE  4 fois dans l’année (car 4j/ 365j = 0.0109 ?</w:t>
      </w:r>
    </w:p>
    <w:p w14:paraId="4FC87851" w14:textId="77777777" w:rsidR="0041091E" w:rsidRDefault="0041091E" w:rsidP="00B727C2">
      <w:pPr>
        <w:suppressAutoHyphens/>
        <w:autoSpaceDN w:val="0"/>
        <w:jc w:val="both"/>
        <w:rPr>
          <w:rFonts w:eastAsia="Times New Roman"/>
          <w:b/>
          <w:bCs/>
        </w:rPr>
      </w:pPr>
    </w:p>
    <w:p w14:paraId="778EC38D" w14:textId="36AE1781" w:rsidR="0041091E" w:rsidRDefault="0041091E" w:rsidP="00B727C2">
      <w:pPr>
        <w:pStyle w:val="Paragraphedeliste"/>
        <w:numPr>
          <w:ilvl w:val="0"/>
          <w:numId w:val="12"/>
        </w:numPr>
        <w:suppressAutoHyphens/>
        <w:autoSpaceDN w:val="0"/>
        <w:jc w:val="both"/>
      </w:pPr>
      <w:r w:rsidRPr="0041091E">
        <w:rPr>
          <w:rFonts w:eastAsia="Times New Roman"/>
          <w:b/>
          <w:bCs/>
        </w:rPr>
        <w:t>Question :</w:t>
      </w:r>
      <w:r w:rsidRPr="0041091E">
        <w:rPr>
          <w:rFonts w:eastAsia="Times New Roman"/>
        </w:rPr>
        <w:t xml:space="preserve"> pourquoi dans le projet de la Décision ASNR, il est abordé le référentiel « grands chauds », les températures extrêmes TE, mais il n’est pas abordé :</w:t>
      </w:r>
    </w:p>
    <w:p w14:paraId="3AF0F9A0" w14:textId="05D4F02D" w:rsidR="0041091E" w:rsidRDefault="0041091E" w:rsidP="00B727C2">
      <w:pPr>
        <w:pStyle w:val="Paragraphedeliste"/>
        <w:numPr>
          <w:ilvl w:val="1"/>
          <w:numId w:val="12"/>
        </w:numPr>
        <w:suppressAutoHyphens/>
        <w:autoSpaceDN w:val="0"/>
        <w:jc w:val="both"/>
      </w:pPr>
      <w:r w:rsidRPr="0041091E">
        <w:rPr>
          <w:rFonts w:eastAsia="Times New Roman"/>
        </w:rPr>
        <w:t>Les situations « de températures de redimensionnement appliquées sans limitation de durée »,</w:t>
      </w:r>
    </w:p>
    <w:p w14:paraId="49A53D46" w14:textId="2D8B3703" w:rsidR="0041091E" w:rsidRDefault="0041091E" w:rsidP="00B727C2">
      <w:pPr>
        <w:pStyle w:val="Paragraphedeliste"/>
        <w:numPr>
          <w:ilvl w:val="1"/>
          <w:numId w:val="12"/>
        </w:numPr>
        <w:suppressAutoHyphens/>
        <w:autoSpaceDN w:val="0"/>
        <w:jc w:val="both"/>
      </w:pPr>
      <w:r w:rsidRPr="0041091E">
        <w:rPr>
          <w:rFonts w:eastAsia="Times New Roman"/>
        </w:rPr>
        <w:t>La situation « d’agression canicule présentant des températures plus élevées que les températures de redimensionnement, mais sur des durées plus courtes » ?</w:t>
      </w:r>
    </w:p>
    <w:p w14:paraId="632C9193" w14:textId="77777777" w:rsidR="0041091E" w:rsidRDefault="0041091E" w:rsidP="00B727C2">
      <w:pPr>
        <w:pStyle w:val="Standard"/>
        <w:jc w:val="both"/>
        <w:rPr>
          <w:rFonts w:hint="eastAsia"/>
        </w:rPr>
      </w:pPr>
    </w:p>
    <w:p w14:paraId="3FD9AADD" w14:textId="77777777" w:rsidR="0041091E" w:rsidRDefault="0041091E" w:rsidP="00B727C2">
      <w:pPr>
        <w:pStyle w:val="Standard"/>
        <w:jc w:val="both"/>
        <w:rPr>
          <w:rFonts w:hint="eastAsia"/>
        </w:rPr>
      </w:pPr>
    </w:p>
    <w:p w14:paraId="1C7CC0CC" w14:textId="77777777" w:rsidR="0041091E" w:rsidRDefault="0041091E" w:rsidP="00B727C2">
      <w:pPr>
        <w:pStyle w:val="Standard"/>
        <w:jc w:val="both"/>
        <w:rPr>
          <w:rFonts w:hint="eastAsia"/>
        </w:rPr>
      </w:pPr>
    </w:p>
    <w:p w14:paraId="6674F6A7" w14:textId="1A926A1C" w:rsidR="0041091E" w:rsidRPr="0041091E" w:rsidRDefault="0041091E" w:rsidP="00B727C2">
      <w:pPr>
        <w:suppressAutoHyphens/>
        <w:autoSpaceDN w:val="0"/>
        <w:jc w:val="both"/>
        <w:rPr>
          <w:u w:val="single"/>
        </w:rPr>
      </w:pPr>
      <w:r w:rsidRPr="0041091E">
        <w:rPr>
          <w:rFonts w:eastAsia="Times New Roman"/>
          <w:u w:val="single"/>
        </w:rPr>
        <w:t xml:space="preserve">Page 8- au chapitre </w:t>
      </w:r>
      <w:r w:rsidRPr="0041091E">
        <w:rPr>
          <w:rFonts w:eastAsia="Times New Roman"/>
          <w:i/>
          <w:iCs/>
          <w:u w:val="single"/>
        </w:rPr>
        <w:t>« Risques associés aux agressions / Risques liés à l’inondation interne :</w:t>
      </w:r>
    </w:p>
    <w:p w14:paraId="63EDC06B" w14:textId="6B563D27" w:rsidR="0041091E" w:rsidRDefault="0041091E" w:rsidP="00B727C2">
      <w:pPr>
        <w:pStyle w:val="Paragraphedeliste"/>
        <w:numPr>
          <w:ilvl w:val="0"/>
          <w:numId w:val="14"/>
        </w:numPr>
        <w:suppressAutoHyphens/>
        <w:autoSpaceDN w:val="0"/>
        <w:jc w:val="both"/>
      </w:pPr>
      <w:r w:rsidRPr="0041091E">
        <w:rPr>
          <w:i/>
          <w:iCs/>
        </w:rPr>
        <w:t>A propos de l’inondation externe, je n’ai pas vu de chapitre dédié</w:t>
      </w:r>
    </w:p>
    <w:p w14:paraId="32FBC268" w14:textId="77777777" w:rsidR="0041091E" w:rsidRDefault="0041091E" w:rsidP="00B727C2">
      <w:pPr>
        <w:pStyle w:val="Paragraphedeliste"/>
        <w:ind w:left="1440"/>
        <w:jc w:val="both"/>
      </w:pPr>
    </w:p>
    <w:p w14:paraId="7F5DDB15" w14:textId="77777777" w:rsidR="0041091E" w:rsidRDefault="0041091E" w:rsidP="00B727C2">
      <w:pPr>
        <w:pStyle w:val="Paragraphedeliste"/>
        <w:ind w:left="1440"/>
        <w:jc w:val="both"/>
      </w:pPr>
    </w:p>
    <w:p w14:paraId="4EAAA386" w14:textId="77777777" w:rsidR="0041091E" w:rsidRDefault="0041091E" w:rsidP="00B727C2">
      <w:pPr>
        <w:pStyle w:val="Paragraphedeliste"/>
        <w:ind w:left="1440"/>
        <w:jc w:val="both"/>
      </w:pPr>
    </w:p>
    <w:p w14:paraId="03501EEE" w14:textId="29F2885F" w:rsidR="0041091E" w:rsidRPr="0041091E" w:rsidRDefault="0041091E" w:rsidP="00B727C2">
      <w:pPr>
        <w:suppressAutoHyphens/>
        <w:autoSpaceDN w:val="0"/>
        <w:jc w:val="both"/>
        <w:rPr>
          <w:u w:val="single"/>
        </w:rPr>
      </w:pPr>
      <w:r w:rsidRPr="0041091E">
        <w:rPr>
          <w:rFonts w:eastAsia="Times New Roman"/>
          <w:i/>
          <w:iCs/>
          <w:u w:val="single"/>
        </w:rPr>
        <w:t xml:space="preserve">Page 11- au chapitre </w:t>
      </w:r>
      <w:r w:rsidRPr="0041091E">
        <w:rPr>
          <w:rFonts w:eastAsia="Times New Roman"/>
          <w:u w:val="single"/>
        </w:rPr>
        <w:t>« </w:t>
      </w:r>
      <w:r w:rsidRPr="0041091E">
        <w:rPr>
          <w:rFonts w:eastAsia="Times New Roman"/>
          <w:i/>
          <w:iCs/>
          <w:u w:val="single"/>
        </w:rPr>
        <w:t>Gestion des eaux contaminées (fusion du cœur) / AG-D-III » : éventuelles dispositions afin de limiter la dissémination de substances radioactives, par le sol et les eaux souterraines, en dehors du site …</w:t>
      </w:r>
      <w:r w:rsidRPr="0041091E">
        <w:rPr>
          <w:rFonts w:eastAsia="Times New Roman"/>
          <w:u w:val="single"/>
        </w:rPr>
        <w:t> »</w:t>
      </w:r>
    </w:p>
    <w:p w14:paraId="33BF3C5F" w14:textId="7FD893A6" w:rsidR="0041091E" w:rsidRDefault="0041091E" w:rsidP="00B727C2">
      <w:pPr>
        <w:pStyle w:val="Paragraphedeliste"/>
        <w:numPr>
          <w:ilvl w:val="0"/>
          <w:numId w:val="13"/>
        </w:numPr>
        <w:jc w:val="both"/>
      </w:pPr>
      <w:r w:rsidRPr="0041091E">
        <w:rPr>
          <w:rFonts w:eastAsia="Times New Roman"/>
        </w:rPr>
        <w:t>Y aurait-il une n</w:t>
      </w:r>
      <w:r w:rsidRPr="0041091E">
        <w:rPr>
          <w:rFonts w:eastAsia="Times New Roman"/>
          <w:i/>
          <w:iCs/>
        </w:rPr>
        <w:t>écessité de réservoirs externes à ces bâtiments, et situés en zones non inondables ? système de collecte des eaux de pluie différencié ?</w:t>
      </w:r>
    </w:p>
    <w:p w14:paraId="4A7BCCEC" w14:textId="77777777" w:rsidR="0041091E" w:rsidRDefault="0041091E" w:rsidP="00B727C2">
      <w:pPr>
        <w:pStyle w:val="Paragraphedeliste"/>
        <w:ind w:left="2160" w:hanging="360"/>
        <w:jc w:val="both"/>
      </w:pPr>
    </w:p>
    <w:p w14:paraId="0A71645C" w14:textId="77777777" w:rsidR="0041091E" w:rsidRDefault="0041091E" w:rsidP="00B727C2">
      <w:pPr>
        <w:pStyle w:val="Paragraphedeliste"/>
        <w:ind w:left="2160" w:hanging="360"/>
        <w:jc w:val="both"/>
      </w:pPr>
    </w:p>
    <w:p w14:paraId="3B23E31B" w14:textId="77777777" w:rsidR="0041091E" w:rsidRPr="0041091E" w:rsidRDefault="0041091E" w:rsidP="00B727C2">
      <w:pPr>
        <w:suppressAutoHyphens/>
        <w:autoSpaceDN w:val="0"/>
        <w:jc w:val="both"/>
        <w:rPr>
          <w:u w:val="single"/>
        </w:rPr>
      </w:pPr>
      <w:r w:rsidRPr="0041091E">
        <w:rPr>
          <w:rFonts w:eastAsia="Times New Roman"/>
          <w:i/>
          <w:iCs/>
          <w:u w:val="single"/>
        </w:rPr>
        <w:t>Page 12- au chapitre « maitrise des inconvénients présentés par le fonctionnement normal / traitement des effluents/ INC-A/ II</w:t>
      </w:r>
      <w:r w:rsidRPr="0041091E">
        <w:rPr>
          <w:rFonts w:eastAsia="Times New Roman"/>
          <w:u w:val="single"/>
        </w:rPr>
        <w:t> » :</w:t>
      </w:r>
    </w:p>
    <w:p w14:paraId="6ACC59CC" w14:textId="5045689C" w:rsidR="0041091E" w:rsidRDefault="0041091E" w:rsidP="00B727C2">
      <w:pPr>
        <w:pStyle w:val="Paragraphedeliste"/>
        <w:numPr>
          <w:ilvl w:val="0"/>
          <w:numId w:val="13"/>
        </w:numPr>
        <w:suppressAutoHyphens/>
        <w:autoSpaceDN w:val="0"/>
        <w:jc w:val="both"/>
      </w:pPr>
      <w:r w:rsidRPr="0041091E">
        <w:rPr>
          <w:rFonts w:eastAsia="Times New Roman"/>
        </w:rPr>
        <w:t>Qu’est-il prévu de nouveau pour la production d’eau déminéralisée ?</w:t>
      </w:r>
    </w:p>
    <w:p w14:paraId="3C9DE2E4" w14:textId="481783DD" w:rsidR="0041091E" w:rsidRDefault="0041091E" w:rsidP="00B727C2">
      <w:pPr>
        <w:pStyle w:val="Paragraphedeliste"/>
        <w:numPr>
          <w:ilvl w:val="0"/>
          <w:numId w:val="13"/>
        </w:numPr>
        <w:suppressAutoHyphens/>
        <w:autoSpaceDN w:val="0"/>
        <w:jc w:val="both"/>
      </w:pPr>
      <w:r w:rsidRPr="0041091E">
        <w:rPr>
          <w:rFonts w:eastAsia="Times New Roman"/>
        </w:rPr>
        <w:t>Est-ce également une diminution du volume d’eau utilisé ? nouveau process ?</w:t>
      </w:r>
    </w:p>
    <w:p w14:paraId="1016215E" w14:textId="77777777" w:rsidR="0041091E" w:rsidRDefault="0041091E" w:rsidP="00B727C2">
      <w:pPr>
        <w:pStyle w:val="Paragraphedeliste"/>
        <w:ind w:left="2160" w:hanging="360"/>
        <w:jc w:val="both"/>
      </w:pPr>
    </w:p>
    <w:p w14:paraId="0652C434" w14:textId="77777777" w:rsidR="0041091E" w:rsidRPr="0041091E" w:rsidRDefault="0041091E" w:rsidP="00B727C2">
      <w:pPr>
        <w:jc w:val="both"/>
        <w:rPr>
          <w:u w:val="single"/>
        </w:rPr>
      </w:pPr>
      <w:r w:rsidRPr="0041091E">
        <w:rPr>
          <w:i/>
          <w:iCs/>
          <w:u w:val="single"/>
        </w:rPr>
        <w:t xml:space="preserve">Dans le </w:t>
      </w:r>
      <w:r w:rsidRPr="0041091E">
        <w:rPr>
          <w:u w:val="single"/>
        </w:rPr>
        <w:t>Projet d’Instruction de l’ASNR de mai 2025   la liste des inconvénients est présentée :</w:t>
      </w:r>
    </w:p>
    <w:p w14:paraId="303DB43E" w14:textId="020F014D" w:rsidR="0041091E" w:rsidRDefault="0041091E" w:rsidP="00B727C2">
      <w:pPr>
        <w:pStyle w:val="Paragraphedeliste"/>
        <w:numPr>
          <w:ilvl w:val="0"/>
          <w:numId w:val="15"/>
        </w:numPr>
        <w:jc w:val="both"/>
      </w:pPr>
      <w:r w:rsidRPr="0041091E">
        <w:rPr>
          <w:rFonts w:eastAsia="Times New Roman"/>
        </w:rPr>
        <w:t>Question : est-ce que tous les axes d’amélioration cités concernent tous les sites nucléaires ? qu’en est-il pour Golfech ?</w:t>
      </w:r>
    </w:p>
    <w:p w14:paraId="4A386E96" w14:textId="77777777" w:rsidR="0041091E" w:rsidRDefault="0041091E" w:rsidP="00B727C2">
      <w:pPr>
        <w:pStyle w:val="Paragraphedeliste"/>
        <w:ind w:left="1440"/>
        <w:jc w:val="both"/>
      </w:pPr>
      <w:r>
        <w:rPr>
          <w:rFonts w:eastAsia="Times New Roman"/>
        </w:rPr>
        <w:t>____________________________________________________</w:t>
      </w:r>
    </w:p>
    <w:p w14:paraId="71F755F1" w14:textId="77777777" w:rsidR="0041091E" w:rsidRDefault="0041091E" w:rsidP="00B727C2">
      <w:pPr>
        <w:pStyle w:val="Standard"/>
        <w:jc w:val="both"/>
        <w:rPr>
          <w:rFonts w:hint="eastAsia"/>
        </w:rPr>
      </w:pPr>
    </w:p>
    <w:p w14:paraId="38A8FC82" w14:textId="77777777" w:rsidR="0041091E" w:rsidRDefault="0041091E" w:rsidP="00B727C2">
      <w:pPr>
        <w:pStyle w:val="Standard"/>
        <w:jc w:val="both"/>
        <w:rPr>
          <w:rFonts w:hint="eastAsia"/>
        </w:rPr>
      </w:pPr>
    </w:p>
    <w:p w14:paraId="45EBC7BD" w14:textId="77777777" w:rsidR="0041091E" w:rsidRDefault="0041091E" w:rsidP="00B727C2">
      <w:pPr>
        <w:pStyle w:val="Standard"/>
        <w:ind w:left="2160" w:hanging="360"/>
        <w:jc w:val="both"/>
        <w:rPr>
          <w:rFonts w:hint="eastAsia"/>
        </w:rPr>
      </w:pPr>
    </w:p>
    <w:p w14:paraId="015A8690" w14:textId="707D7844" w:rsidR="0041091E" w:rsidRPr="0041091E" w:rsidRDefault="0041091E" w:rsidP="00B727C2">
      <w:pPr>
        <w:pStyle w:val="Standard"/>
        <w:jc w:val="both"/>
        <w:rPr>
          <w:rFonts w:ascii="Avenir Next LT Pro" w:hAnsi="Avenir Next LT Pro"/>
          <w:b/>
          <w:bCs/>
          <w:u w:val="single"/>
        </w:rPr>
      </w:pPr>
      <w:r w:rsidRPr="0041091E">
        <w:rPr>
          <w:rFonts w:ascii="Avenir Next LT Pro" w:hAnsi="Avenir Next LT Pro"/>
          <w:b/>
          <w:bCs/>
          <w:u w:val="single"/>
        </w:rPr>
        <w:t xml:space="preserve">Lectures de V ROSSETTO et commentaires sur le projet de rapport d’instruction de L’ASNR du 4ieme réexamen périodique de réacteurs de 1300 </w:t>
      </w:r>
      <w:proofErr w:type="spellStart"/>
      <w:r w:rsidRPr="0041091E">
        <w:rPr>
          <w:rFonts w:ascii="Avenir Next LT Pro" w:hAnsi="Avenir Next LT Pro"/>
          <w:b/>
          <w:bCs/>
          <w:u w:val="single"/>
        </w:rPr>
        <w:t>Mwe</w:t>
      </w:r>
      <w:proofErr w:type="spellEnd"/>
      <w:r w:rsidRPr="0041091E">
        <w:rPr>
          <w:rFonts w:ascii="Avenir Next LT Pro" w:hAnsi="Avenir Next LT Pro"/>
          <w:b/>
          <w:bCs/>
          <w:u w:val="single"/>
        </w:rPr>
        <w:t xml:space="preserve"> d’EDF :</w:t>
      </w:r>
    </w:p>
    <w:p w14:paraId="08E9012E" w14:textId="77777777" w:rsidR="0041091E" w:rsidRPr="0041091E" w:rsidRDefault="0041091E" w:rsidP="00B727C2">
      <w:pPr>
        <w:pStyle w:val="Standard"/>
        <w:jc w:val="both"/>
        <w:rPr>
          <w:rFonts w:ascii="Avenir Next LT Pro" w:hAnsi="Avenir Next LT Pro"/>
        </w:rPr>
      </w:pPr>
    </w:p>
    <w:p w14:paraId="6DDF0465" w14:textId="77777777" w:rsidR="0041091E" w:rsidRPr="0041091E" w:rsidRDefault="0041091E" w:rsidP="00B727C2">
      <w:pPr>
        <w:pStyle w:val="Standard"/>
        <w:numPr>
          <w:ilvl w:val="0"/>
          <w:numId w:val="15"/>
        </w:numPr>
        <w:jc w:val="both"/>
        <w:rPr>
          <w:rFonts w:ascii="Avenir Next LT Pro" w:hAnsi="Avenir Next LT Pro"/>
        </w:rPr>
      </w:pPr>
      <w:r w:rsidRPr="0041091E">
        <w:rPr>
          <w:rFonts w:ascii="Avenir Next LT Pro" w:hAnsi="Avenir Next LT Pro"/>
        </w:rPr>
        <w:t xml:space="preserve">Dans le cadre des incendies, </w:t>
      </w:r>
      <w:r w:rsidRPr="0041091E">
        <w:rPr>
          <w:rFonts w:ascii="Avenir Next LT Pro" w:eastAsia="Times New Roman" w:hAnsi="Avenir Next LT Pro"/>
          <w:lang w:eastAsia="en-US"/>
        </w:rPr>
        <w:t>Quels sont les risques d’incendies dans le bâtiment réacteur ?</w:t>
      </w:r>
    </w:p>
    <w:p w14:paraId="1FB8955C" w14:textId="77777777" w:rsidR="0041091E" w:rsidRDefault="0041091E" w:rsidP="00B727C2">
      <w:pPr>
        <w:pStyle w:val="Standard"/>
        <w:jc w:val="both"/>
        <w:rPr>
          <w:rFonts w:ascii="Avenir Next LT Pro" w:hAnsi="Avenir Next LT Pro"/>
        </w:rPr>
      </w:pPr>
    </w:p>
    <w:p w14:paraId="4A17C1B8" w14:textId="77777777" w:rsidR="0041091E" w:rsidRPr="0041091E" w:rsidRDefault="0041091E" w:rsidP="00B727C2">
      <w:pPr>
        <w:pStyle w:val="Standard"/>
        <w:jc w:val="both"/>
        <w:rPr>
          <w:rFonts w:ascii="Avenir Next LT Pro" w:hAnsi="Avenir Next LT Pro"/>
        </w:rPr>
      </w:pPr>
    </w:p>
    <w:p w14:paraId="0746B3A1" w14:textId="14878BD1" w:rsidR="0041091E" w:rsidRPr="0041091E" w:rsidRDefault="0041091E" w:rsidP="00B727C2">
      <w:pPr>
        <w:pStyle w:val="Standard"/>
        <w:jc w:val="both"/>
        <w:rPr>
          <w:rFonts w:ascii="Avenir Next LT Pro" w:hAnsi="Avenir Next LT Pro"/>
        </w:rPr>
      </w:pPr>
      <w:r w:rsidRPr="0041091E">
        <w:rPr>
          <w:rFonts w:ascii="Avenir Next LT Pro" w:eastAsia="Times New Roman" w:hAnsi="Avenir Next LT Pro"/>
          <w:i/>
          <w:iCs/>
          <w:lang w:eastAsia="en-US"/>
        </w:rPr>
        <w:t xml:space="preserve">Dans le </w:t>
      </w:r>
      <w:r w:rsidRPr="0041091E">
        <w:rPr>
          <w:rFonts w:ascii="Avenir Next LT Pro" w:hAnsi="Avenir Next LT Pro"/>
          <w:b/>
          <w:bCs/>
          <w:lang w:eastAsia="en-US"/>
        </w:rPr>
        <w:t>ProjInstASNRdemai2025 au 5.2.5 risques liés aux températures élevées en fin d’introduction du chapitre 5.2.5 :</w:t>
      </w:r>
    </w:p>
    <w:p w14:paraId="3E65ECB9" w14:textId="422DEFD8" w:rsidR="0041091E" w:rsidRDefault="0041091E" w:rsidP="00B727C2">
      <w:pPr>
        <w:jc w:val="both"/>
        <w:rPr>
          <w:i/>
          <w:iCs/>
        </w:rPr>
      </w:pPr>
      <w:r w:rsidRPr="0041091E">
        <w:rPr>
          <w:i/>
          <w:iCs/>
        </w:rPr>
        <w:t>« Les risques liés aux températures élevées de l’air sont ainsi présentés dans la suite de ce paragraphe. Il convient de noter que les risques liés aux températures élevés de l’eau ont également fait l’objet d’une réévaluation par EDF dans le cadre du réexamen périodique. Cette réévaluation conclut que la sûreté des réacteurs n’est pas remise en cause en cas de températures élevées de l’eau. Elle n’a pas été instruite par l’ASNR. »</w:t>
      </w:r>
    </w:p>
    <w:p w14:paraId="2DC29318" w14:textId="77777777" w:rsidR="0041091E" w:rsidRPr="0041091E" w:rsidRDefault="0041091E" w:rsidP="00B727C2">
      <w:pPr>
        <w:jc w:val="both"/>
      </w:pPr>
    </w:p>
    <w:p w14:paraId="673748C0" w14:textId="77777777" w:rsidR="0041091E" w:rsidRPr="0041091E" w:rsidRDefault="0041091E" w:rsidP="00B727C2">
      <w:pPr>
        <w:pStyle w:val="Paragraphedeliste"/>
        <w:numPr>
          <w:ilvl w:val="0"/>
          <w:numId w:val="15"/>
        </w:numPr>
        <w:jc w:val="both"/>
      </w:pPr>
      <w:r w:rsidRPr="0041091E">
        <w:rPr>
          <w:rFonts w:eastAsia="Times New Roman"/>
          <w:b/>
          <w:bCs/>
          <w:i/>
          <w:iCs/>
        </w:rPr>
        <w:t>Question :</w:t>
      </w:r>
      <w:r w:rsidRPr="0041091E">
        <w:rPr>
          <w:rFonts w:eastAsia="Times New Roman"/>
          <w:i/>
          <w:iCs/>
        </w:rPr>
        <w:t xml:space="preserve"> Pourquoi l’ASNR n’a pas instruit cette situation ?</w:t>
      </w:r>
    </w:p>
    <w:p w14:paraId="4EEEDBE5" w14:textId="77777777" w:rsidR="0041091E" w:rsidRPr="0041091E" w:rsidRDefault="0041091E" w:rsidP="00B727C2">
      <w:pPr>
        <w:pStyle w:val="Paragraphedeliste"/>
        <w:ind w:left="2856" w:hanging="360"/>
        <w:jc w:val="both"/>
      </w:pPr>
    </w:p>
    <w:p w14:paraId="3C76BA7B" w14:textId="77777777" w:rsidR="0041091E" w:rsidRDefault="0041091E" w:rsidP="00B727C2">
      <w:pPr>
        <w:pStyle w:val="Paragraphedeliste"/>
        <w:ind w:left="2856"/>
        <w:jc w:val="both"/>
      </w:pPr>
    </w:p>
    <w:p w14:paraId="1E99BF8F" w14:textId="77777777" w:rsidR="0041091E" w:rsidRPr="0041091E" w:rsidRDefault="0041091E" w:rsidP="00B727C2">
      <w:pPr>
        <w:pStyle w:val="Paragraphedeliste"/>
        <w:ind w:left="2856"/>
        <w:jc w:val="both"/>
      </w:pPr>
    </w:p>
    <w:p w14:paraId="31DCD5CE" w14:textId="77777777" w:rsidR="0041091E" w:rsidRPr="0041091E" w:rsidRDefault="0041091E" w:rsidP="00B727C2">
      <w:pPr>
        <w:suppressAutoHyphens/>
        <w:autoSpaceDN w:val="0"/>
        <w:jc w:val="both"/>
      </w:pPr>
      <w:r w:rsidRPr="0041091E">
        <w:rPr>
          <w:rFonts w:eastAsia="Times New Roman"/>
          <w:i/>
          <w:iCs/>
        </w:rPr>
        <w:t xml:space="preserve">Dans le </w:t>
      </w:r>
      <w:r w:rsidRPr="0041091E">
        <w:rPr>
          <w:b/>
          <w:bCs/>
        </w:rPr>
        <w:t>ProjInstASNRdemai2025 au 5.2.5.2 : synthèse de études réalisées et des modifications prévues par EDF :</w:t>
      </w:r>
    </w:p>
    <w:p w14:paraId="00030081" w14:textId="77777777" w:rsidR="0041091E" w:rsidRPr="0041091E" w:rsidRDefault="0041091E" w:rsidP="00B727C2">
      <w:pPr>
        <w:pStyle w:val="Paragraphedeliste"/>
        <w:ind w:left="2136"/>
        <w:jc w:val="both"/>
        <w:rPr>
          <w:i/>
          <w:iCs/>
        </w:rPr>
      </w:pPr>
    </w:p>
    <w:p w14:paraId="33B9ADAD" w14:textId="1466BF3A" w:rsidR="0041091E" w:rsidRPr="0041091E" w:rsidRDefault="0041091E" w:rsidP="00B727C2">
      <w:pPr>
        <w:jc w:val="both"/>
      </w:pPr>
      <w:r w:rsidRPr="0041091E">
        <w:rPr>
          <w:i/>
          <w:iCs/>
        </w:rPr>
        <w:t>« Enfin, EDF a défini par ailleurs une température allant significativement au-delà des températures de canicule retenues dans son référentiel, en retenant une cible de période de retour décamillénale pour réaliser les études destinées à répondre aux niveaux de référence de l’association WENRA. »</w:t>
      </w:r>
    </w:p>
    <w:p w14:paraId="75488C34" w14:textId="77777777" w:rsidR="0041091E" w:rsidRPr="0041091E" w:rsidRDefault="0041091E" w:rsidP="00B727C2">
      <w:pPr>
        <w:jc w:val="both"/>
      </w:pPr>
      <w:r w:rsidRPr="0041091E">
        <w:rPr>
          <w:i/>
          <w:iCs/>
        </w:rPr>
        <w:t>NB : décamillénale : qui se reproduit tous les 10 000 ans</w:t>
      </w:r>
    </w:p>
    <w:p w14:paraId="7B37963B" w14:textId="77777777" w:rsidR="0041091E" w:rsidRPr="0041091E" w:rsidRDefault="0041091E" w:rsidP="00B727C2">
      <w:pPr>
        <w:pStyle w:val="Paragraphedeliste"/>
        <w:ind w:left="2136"/>
        <w:jc w:val="both"/>
        <w:rPr>
          <w:i/>
          <w:iCs/>
        </w:rPr>
      </w:pPr>
    </w:p>
    <w:p w14:paraId="1E8B52A4" w14:textId="77777777" w:rsidR="0041091E" w:rsidRPr="0041091E" w:rsidRDefault="0041091E" w:rsidP="00B727C2">
      <w:pPr>
        <w:pStyle w:val="Paragraphedeliste"/>
        <w:numPr>
          <w:ilvl w:val="0"/>
          <w:numId w:val="15"/>
        </w:numPr>
        <w:jc w:val="both"/>
      </w:pPr>
      <w:r w:rsidRPr="0041091E">
        <w:rPr>
          <w:rFonts w:eastAsia="Times New Roman"/>
          <w:b/>
          <w:bCs/>
          <w:i/>
          <w:iCs/>
        </w:rPr>
        <w:t>Question :</w:t>
      </w:r>
      <w:r w:rsidRPr="0041091E">
        <w:rPr>
          <w:rFonts w:eastAsia="Times New Roman"/>
          <w:i/>
          <w:iCs/>
        </w:rPr>
        <w:t xml:space="preserve"> pourrait-on avoir des explications là-dessus ? </w:t>
      </w:r>
    </w:p>
    <w:p w14:paraId="61EE2522" w14:textId="77777777" w:rsidR="0041091E" w:rsidRPr="0041091E" w:rsidRDefault="0041091E" w:rsidP="00B727C2">
      <w:pPr>
        <w:pStyle w:val="Paragraphedeliste"/>
        <w:ind w:left="2856" w:hanging="360"/>
        <w:jc w:val="both"/>
      </w:pPr>
    </w:p>
    <w:p w14:paraId="0813751A" w14:textId="77777777" w:rsidR="0041091E" w:rsidRPr="0041091E" w:rsidRDefault="0041091E" w:rsidP="00B727C2">
      <w:pPr>
        <w:pStyle w:val="Paragraphedeliste"/>
        <w:ind w:left="2856" w:hanging="360"/>
        <w:jc w:val="both"/>
      </w:pPr>
    </w:p>
    <w:p w14:paraId="6D802190" w14:textId="6E8B38AC" w:rsidR="0041091E" w:rsidRPr="0041091E" w:rsidRDefault="0041091E" w:rsidP="00B727C2">
      <w:pPr>
        <w:suppressAutoHyphens/>
        <w:autoSpaceDN w:val="0"/>
        <w:jc w:val="both"/>
      </w:pPr>
      <w:r w:rsidRPr="0041091E">
        <w:rPr>
          <w:rFonts w:eastAsia="Times New Roman"/>
          <w:i/>
          <w:iCs/>
        </w:rPr>
        <w:lastRenderedPageBreak/>
        <w:t xml:space="preserve">Dans le </w:t>
      </w:r>
      <w:r w:rsidRPr="0041091E">
        <w:rPr>
          <w:b/>
          <w:bCs/>
        </w:rPr>
        <w:t>ProjInstASNRdemai2025 au 5.2.8 risques liés aux vents violents </w:t>
      </w:r>
      <w:r w:rsidRPr="0041091E">
        <w:t>EDF va étudier au-delà des études faites à la construction, « les effets indirects des vents violents (projectiles)…et les effets de survitesse induits pour les systèmes de ventilation pouvant conduire à leur défaillance »</w:t>
      </w:r>
    </w:p>
    <w:p w14:paraId="67947736" w14:textId="77777777" w:rsidR="0041091E" w:rsidRPr="0041091E" w:rsidRDefault="0041091E" w:rsidP="00B727C2">
      <w:pPr>
        <w:pStyle w:val="Paragraphedeliste"/>
        <w:ind w:left="1800"/>
        <w:jc w:val="both"/>
        <w:rPr>
          <w:i/>
          <w:iCs/>
        </w:rPr>
      </w:pPr>
    </w:p>
    <w:p w14:paraId="4BDA11E4" w14:textId="5E26783F" w:rsidR="0041091E" w:rsidRPr="00B727C2" w:rsidRDefault="0041091E" w:rsidP="00B727C2">
      <w:pPr>
        <w:jc w:val="both"/>
      </w:pPr>
      <w:r w:rsidRPr="0041091E">
        <w:rPr>
          <w:i/>
          <w:iCs/>
        </w:rPr>
        <w:t xml:space="preserve">« Dans le cadre du quatrième réexamen périodique des réacteurs de 1300 </w:t>
      </w:r>
      <w:proofErr w:type="spellStart"/>
      <w:r w:rsidRPr="0041091E">
        <w:rPr>
          <w:i/>
          <w:iCs/>
        </w:rPr>
        <w:t>MWe</w:t>
      </w:r>
      <w:proofErr w:type="spellEnd"/>
      <w:r w:rsidRPr="0041091E">
        <w:rPr>
          <w:i/>
          <w:iCs/>
        </w:rPr>
        <w:t>, l’objectif consiste à étudier d’une part les effets directs des vents violents sur les structures, systèmes et composants (SSC) situés en extérieur ainsi que sur les bâtiments en abritant et d’autre part les effets indirects de ces vents violents</w:t>
      </w:r>
      <w:r w:rsidR="00B727C2">
        <w:t xml:space="preserve"> </w:t>
      </w:r>
      <w:r w:rsidRPr="0041091E">
        <w:rPr>
          <w:i/>
          <w:iCs/>
        </w:rPr>
        <w:t>(projectiles), en incluant les cibles situées à l’intérieur des bâtiments peu résistants, ainsi que les risques de survitesse induits pour les systèmes de ventilation pouvant conduire à leur défaillance.</w:t>
      </w:r>
    </w:p>
    <w:p w14:paraId="6CBC3CD8" w14:textId="77777777" w:rsidR="0041091E" w:rsidRPr="0041091E" w:rsidRDefault="0041091E" w:rsidP="00B727C2">
      <w:pPr>
        <w:jc w:val="both"/>
      </w:pPr>
    </w:p>
    <w:p w14:paraId="3323ECF2" w14:textId="2B8C7F2B" w:rsidR="0041091E" w:rsidRDefault="0041091E" w:rsidP="00B727C2">
      <w:pPr>
        <w:jc w:val="both"/>
        <w:rPr>
          <w:i/>
          <w:iCs/>
        </w:rPr>
      </w:pPr>
      <w:r w:rsidRPr="0041091E">
        <w:rPr>
          <w:i/>
          <w:iCs/>
        </w:rPr>
        <w:t>De plus, pour répondre à la demande de l’ASN [7] formulée dans sa position sur les orientations du quatrième réexamen périodique, EDF devait vérifier l’absence d’effet falaise sur la démonstration de sûreté pour des valeurs de vent correspondant à une valeur cible de fréquence annuelle de dépassement inférieure à 10-4 par</w:t>
      </w:r>
      <w:r w:rsidRPr="0041091E">
        <w:t xml:space="preserve"> </w:t>
      </w:r>
      <w:r w:rsidRPr="0041091E">
        <w:rPr>
          <w:i/>
          <w:iCs/>
        </w:rPr>
        <w:t>an. »</w:t>
      </w:r>
    </w:p>
    <w:p w14:paraId="4FCCFB57" w14:textId="77777777" w:rsidR="0041091E" w:rsidRPr="0041091E" w:rsidRDefault="0041091E" w:rsidP="00B727C2">
      <w:pPr>
        <w:jc w:val="both"/>
      </w:pPr>
    </w:p>
    <w:p w14:paraId="0445E00D" w14:textId="0B759B5D" w:rsidR="0041091E" w:rsidRPr="0041091E" w:rsidRDefault="0041091E" w:rsidP="00B727C2">
      <w:pPr>
        <w:pStyle w:val="Paragraphedeliste"/>
        <w:numPr>
          <w:ilvl w:val="0"/>
          <w:numId w:val="15"/>
        </w:numPr>
        <w:jc w:val="both"/>
      </w:pPr>
      <w:r w:rsidRPr="0041091E">
        <w:rPr>
          <w:rFonts w:eastAsia="Times New Roman"/>
          <w:b/>
          <w:bCs/>
          <w:i/>
          <w:iCs/>
        </w:rPr>
        <w:t>Question :</w:t>
      </w:r>
      <w:r w:rsidRPr="0041091E">
        <w:rPr>
          <w:rFonts w:eastAsia="Times New Roman"/>
          <w:i/>
          <w:iCs/>
        </w:rPr>
        <w:t xml:space="preserve">  </w:t>
      </w:r>
      <w:r w:rsidR="00B727C2" w:rsidRPr="0041091E">
        <w:rPr>
          <w:rFonts w:eastAsia="Times New Roman"/>
          <w:i/>
          <w:iCs/>
        </w:rPr>
        <w:t>peut-on</w:t>
      </w:r>
      <w:r w:rsidRPr="0041091E">
        <w:rPr>
          <w:rFonts w:eastAsia="Times New Roman"/>
          <w:i/>
          <w:iCs/>
        </w:rPr>
        <w:t xml:space="preserve"> avoir de explications sur cette dernière phrase ?</w:t>
      </w:r>
    </w:p>
    <w:p w14:paraId="07B107ED" w14:textId="77777777" w:rsidR="0041091E" w:rsidRPr="001562DA" w:rsidRDefault="0041091E" w:rsidP="00B727C2">
      <w:pPr>
        <w:pStyle w:val="Paragraphedeliste"/>
        <w:numPr>
          <w:ilvl w:val="0"/>
          <w:numId w:val="15"/>
        </w:numPr>
        <w:jc w:val="both"/>
      </w:pPr>
      <w:r w:rsidRPr="0041091E">
        <w:rPr>
          <w:rFonts w:eastAsia="Times New Roman"/>
          <w:i/>
          <w:iCs/>
        </w:rPr>
        <w:t xml:space="preserve">Effet falaise : </w:t>
      </w:r>
      <w:r w:rsidRPr="0041091E">
        <w:rPr>
          <w:rFonts w:eastAsia="Times New Roman"/>
          <w:i/>
          <w:iCs/>
          <w:szCs w:val="32"/>
        </w:rPr>
        <w:t>à savoir, d</w:t>
      </w:r>
      <w:r w:rsidRPr="0041091E">
        <w:rPr>
          <w:szCs w:val="32"/>
        </w:rPr>
        <w:t xml:space="preserve">’évolution notable des conséquences d’un incendie </w:t>
      </w:r>
      <w:r w:rsidRPr="0041091E">
        <w:rPr>
          <w:rFonts w:eastAsia="Times New Roman"/>
          <w:i/>
          <w:iCs/>
          <w:sz w:val="20"/>
        </w:rPr>
        <w:t>?</w:t>
      </w:r>
    </w:p>
    <w:p w14:paraId="7E4E67C2" w14:textId="77777777" w:rsidR="001562DA" w:rsidRDefault="001562DA" w:rsidP="00B727C2">
      <w:pPr>
        <w:jc w:val="both"/>
      </w:pPr>
    </w:p>
    <w:p w14:paraId="3247B9B8" w14:textId="77777777" w:rsidR="001562DA" w:rsidRDefault="001562DA" w:rsidP="00B727C2">
      <w:pPr>
        <w:jc w:val="both"/>
      </w:pPr>
    </w:p>
    <w:p w14:paraId="6E7B7FF7" w14:textId="77777777" w:rsidR="001562DA" w:rsidRPr="0041091E" w:rsidRDefault="001562DA" w:rsidP="00B727C2">
      <w:pPr>
        <w:jc w:val="both"/>
      </w:pPr>
    </w:p>
    <w:p w14:paraId="2D89C13A" w14:textId="77777777" w:rsidR="0041091E" w:rsidRPr="0041091E" w:rsidRDefault="0041091E" w:rsidP="00B727C2">
      <w:pPr>
        <w:pStyle w:val="Paragraphedeliste"/>
        <w:ind w:left="1800"/>
        <w:jc w:val="both"/>
      </w:pPr>
    </w:p>
    <w:p w14:paraId="18C69568" w14:textId="77777777" w:rsidR="0041091E" w:rsidRPr="0041091E" w:rsidRDefault="0041091E" w:rsidP="00B727C2">
      <w:pPr>
        <w:pStyle w:val="Paragraphedeliste"/>
        <w:ind w:left="1800"/>
        <w:jc w:val="both"/>
      </w:pPr>
      <w:r w:rsidRPr="0041091E">
        <w:rPr>
          <w:rFonts w:eastAsia="Times New Roman"/>
          <w:i/>
          <w:iCs/>
        </w:rPr>
        <w:t>_______________________________________</w:t>
      </w:r>
    </w:p>
    <w:p w14:paraId="155E6743" w14:textId="77777777" w:rsidR="0041091E" w:rsidRPr="0041091E" w:rsidRDefault="0041091E" w:rsidP="00B727C2">
      <w:pPr>
        <w:pStyle w:val="Paragraphedeliste"/>
        <w:ind w:left="1800"/>
        <w:jc w:val="both"/>
      </w:pPr>
    </w:p>
    <w:p w14:paraId="162E2913" w14:textId="77777777" w:rsidR="001562DA" w:rsidRDefault="001562DA" w:rsidP="00B727C2">
      <w:pPr>
        <w:pStyle w:val="Paragraphedeliste"/>
        <w:ind w:left="0"/>
        <w:jc w:val="both"/>
        <w:rPr>
          <w:rFonts w:eastAsia="Times New Roman"/>
          <w:b/>
          <w:bCs/>
          <w:i/>
          <w:iCs/>
        </w:rPr>
      </w:pPr>
    </w:p>
    <w:p w14:paraId="53B34BEB" w14:textId="77777777" w:rsidR="001562DA" w:rsidRDefault="001562DA" w:rsidP="00B727C2">
      <w:pPr>
        <w:pStyle w:val="Paragraphedeliste"/>
        <w:ind w:left="0"/>
        <w:jc w:val="both"/>
        <w:rPr>
          <w:rFonts w:eastAsia="Times New Roman"/>
          <w:b/>
          <w:bCs/>
          <w:i/>
          <w:iCs/>
        </w:rPr>
      </w:pPr>
    </w:p>
    <w:p w14:paraId="61AC3CD2" w14:textId="03EA6F0F" w:rsidR="0041091E" w:rsidRPr="00B727C2" w:rsidRDefault="0041091E" w:rsidP="00B727C2">
      <w:pPr>
        <w:pStyle w:val="Paragraphedeliste"/>
        <w:ind w:left="0"/>
        <w:jc w:val="center"/>
        <w:rPr>
          <w:b/>
          <w:bCs/>
          <w:sz w:val="32"/>
          <w:szCs w:val="32"/>
        </w:rPr>
      </w:pPr>
      <w:r w:rsidRPr="00B727C2">
        <w:rPr>
          <w:rFonts w:eastAsia="Times New Roman"/>
          <w:b/>
          <w:bCs/>
          <w:i/>
          <w:iCs/>
          <w:sz w:val="32"/>
          <w:szCs w:val="32"/>
        </w:rPr>
        <w:t>Autres questions</w:t>
      </w:r>
    </w:p>
    <w:p w14:paraId="27A62912" w14:textId="77777777" w:rsidR="0041091E" w:rsidRPr="0041091E" w:rsidRDefault="0041091E" w:rsidP="00B727C2">
      <w:pPr>
        <w:pStyle w:val="Paragraphedeliste"/>
        <w:ind w:left="1800"/>
        <w:jc w:val="both"/>
      </w:pPr>
    </w:p>
    <w:p w14:paraId="2C8256C8" w14:textId="77777777" w:rsidR="0041091E" w:rsidRPr="0041091E" w:rsidRDefault="0041091E" w:rsidP="00B727C2">
      <w:pPr>
        <w:pStyle w:val="Paragraphedeliste"/>
        <w:ind w:left="1800"/>
        <w:jc w:val="both"/>
      </w:pPr>
    </w:p>
    <w:p w14:paraId="1F47F5D3" w14:textId="0483E514" w:rsidR="0041091E" w:rsidRPr="0041091E" w:rsidRDefault="0041091E" w:rsidP="00B727C2">
      <w:pPr>
        <w:pStyle w:val="Paragraphedeliste"/>
        <w:numPr>
          <w:ilvl w:val="0"/>
          <w:numId w:val="16"/>
        </w:numPr>
        <w:suppressAutoHyphens/>
        <w:autoSpaceDN w:val="0"/>
        <w:jc w:val="both"/>
      </w:pPr>
      <w:r w:rsidRPr="0041091E">
        <w:rPr>
          <w:rFonts w:eastAsia="Times New Roman"/>
        </w:rPr>
        <w:t xml:space="preserve">Dans le cadre des évolutions techniques qui seront programmées, est ce que les progrès techniques vont évoluer vers une production de tritium amoindrie, et </w:t>
      </w:r>
      <w:r w:rsidR="00B727C2" w:rsidRPr="0041091E">
        <w:rPr>
          <w:rFonts w:eastAsia="Times New Roman"/>
        </w:rPr>
        <w:t>des systèmes</w:t>
      </w:r>
      <w:r w:rsidRPr="0041091E">
        <w:rPr>
          <w:rFonts w:eastAsia="Times New Roman"/>
        </w:rPr>
        <w:t xml:space="preserve"> de captage/ piégeage améliorés ?</w:t>
      </w:r>
    </w:p>
    <w:p w14:paraId="5E13C471" w14:textId="77777777" w:rsidR="005C64B2" w:rsidRPr="0041091E" w:rsidRDefault="005C64B2" w:rsidP="00B727C2">
      <w:pPr>
        <w:jc w:val="both"/>
      </w:pPr>
    </w:p>
    <w:sectPr w:rsidR="005C64B2" w:rsidRPr="00410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AFF"/>
    <w:multiLevelType w:val="hybridMultilevel"/>
    <w:tmpl w:val="0F581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26998"/>
    <w:multiLevelType w:val="hybridMultilevel"/>
    <w:tmpl w:val="5C6E5D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944255"/>
    <w:multiLevelType w:val="hybridMultilevel"/>
    <w:tmpl w:val="1E6EC892"/>
    <w:lvl w:ilvl="0" w:tplc="040C000B">
      <w:start w:val="1"/>
      <w:numFmt w:val="bullet"/>
      <w:lvlText w:val=""/>
      <w:lvlJc w:val="left"/>
      <w:pPr>
        <w:ind w:left="2856" w:hanging="360"/>
      </w:pPr>
      <w:rPr>
        <w:rFonts w:ascii="Wingdings" w:hAnsi="Wingdings" w:hint="default"/>
      </w:rPr>
    </w:lvl>
    <w:lvl w:ilvl="1" w:tplc="040C0003">
      <w:start w:val="1"/>
      <w:numFmt w:val="bullet"/>
      <w:lvlText w:val="o"/>
      <w:lvlJc w:val="left"/>
      <w:pPr>
        <w:ind w:left="3576" w:hanging="360"/>
      </w:pPr>
      <w:rPr>
        <w:rFonts w:ascii="Courier New" w:hAnsi="Courier New" w:cs="Courier New" w:hint="default"/>
      </w:rPr>
    </w:lvl>
    <w:lvl w:ilvl="2" w:tplc="040C0005">
      <w:start w:val="1"/>
      <w:numFmt w:val="bullet"/>
      <w:lvlText w:val=""/>
      <w:lvlJc w:val="left"/>
      <w:pPr>
        <w:ind w:left="4296" w:hanging="360"/>
      </w:pPr>
      <w:rPr>
        <w:rFonts w:ascii="Wingdings" w:hAnsi="Wingdings" w:hint="default"/>
      </w:rPr>
    </w:lvl>
    <w:lvl w:ilvl="3" w:tplc="040C0001">
      <w:start w:val="1"/>
      <w:numFmt w:val="bullet"/>
      <w:lvlText w:val=""/>
      <w:lvlJc w:val="left"/>
      <w:pPr>
        <w:ind w:left="5016" w:hanging="360"/>
      </w:pPr>
      <w:rPr>
        <w:rFonts w:ascii="Symbol" w:hAnsi="Symbol" w:hint="default"/>
      </w:rPr>
    </w:lvl>
    <w:lvl w:ilvl="4" w:tplc="040C0003">
      <w:start w:val="1"/>
      <w:numFmt w:val="bullet"/>
      <w:lvlText w:val="o"/>
      <w:lvlJc w:val="left"/>
      <w:pPr>
        <w:ind w:left="5736" w:hanging="360"/>
      </w:pPr>
      <w:rPr>
        <w:rFonts w:ascii="Courier New" w:hAnsi="Courier New" w:cs="Courier New" w:hint="default"/>
      </w:rPr>
    </w:lvl>
    <w:lvl w:ilvl="5" w:tplc="040C0005">
      <w:start w:val="1"/>
      <w:numFmt w:val="bullet"/>
      <w:lvlText w:val=""/>
      <w:lvlJc w:val="left"/>
      <w:pPr>
        <w:ind w:left="6456" w:hanging="360"/>
      </w:pPr>
      <w:rPr>
        <w:rFonts w:ascii="Wingdings" w:hAnsi="Wingdings" w:hint="default"/>
      </w:rPr>
    </w:lvl>
    <w:lvl w:ilvl="6" w:tplc="040C0001">
      <w:start w:val="1"/>
      <w:numFmt w:val="bullet"/>
      <w:lvlText w:val=""/>
      <w:lvlJc w:val="left"/>
      <w:pPr>
        <w:ind w:left="7176" w:hanging="360"/>
      </w:pPr>
      <w:rPr>
        <w:rFonts w:ascii="Symbol" w:hAnsi="Symbol" w:hint="default"/>
      </w:rPr>
    </w:lvl>
    <w:lvl w:ilvl="7" w:tplc="040C0003">
      <w:start w:val="1"/>
      <w:numFmt w:val="bullet"/>
      <w:lvlText w:val="o"/>
      <w:lvlJc w:val="left"/>
      <w:pPr>
        <w:ind w:left="7896" w:hanging="360"/>
      </w:pPr>
      <w:rPr>
        <w:rFonts w:ascii="Courier New" w:hAnsi="Courier New" w:cs="Courier New" w:hint="default"/>
      </w:rPr>
    </w:lvl>
    <w:lvl w:ilvl="8" w:tplc="040C0005">
      <w:start w:val="1"/>
      <w:numFmt w:val="bullet"/>
      <w:lvlText w:val=""/>
      <w:lvlJc w:val="left"/>
      <w:pPr>
        <w:ind w:left="8616" w:hanging="360"/>
      </w:pPr>
      <w:rPr>
        <w:rFonts w:ascii="Wingdings" w:hAnsi="Wingdings" w:hint="default"/>
      </w:rPr>
    </w:lvl>
  </w:abstractNum>
  <w:abstractNum w:abstractNumId="3" w15:restartNumberingAfterBreak="0">
    <w:nsid w:val="1D6E2F75"/>
    <w:multiLevelType w:val="hybridMultilevel"/>
    <w:tmpl w:val="CA688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2D0AA9"/>
    <w:multiLevelType w:val="multilevel"/>
    <w:tmpl w:val="27C06DA4"/>
    <w:lvl w:ilvl="0">
      <w:numFmt w:val="bullet"/>
      <w:lvlText w:val="o"/>
      <w:lvlJc w:val="left"/>
      <w:pPr>
        <w:ind w:left="720" w:hanging="360"/>
      </w:pPr>
      <w:rPr>
        <w:rFonts w:ascii="OpenSymbol" w:eastAsia="OpenSymbol" w:hAnsi="OpenSymbol" w:cs="OpenSymbol"/>
      </w:rPr>
    </w:lvl>
    <w:lvl w:ilvl="1">
      <w:numFmt w:val="bullet"/>
      <w:lvlText w:val="o"/>
      <w:lvlJc w:val="left"/>
      <w:pPr>
        <w:ind w:left="1080" w:hanging="360"/>
      </w:pPr>
      <w:rPr>
        <w:rFonts w:ascii="OpenSymbol" w:eastAsia="OpenSymbol" w:hAnsi="OpenSymbol" w:cs="OpenSymbol"/>
      </w:rPr>
    </w:lvl>
    <w:lvl w:ilvl="2">
      <w:numFmt w:val="bullet"/>
      <w:lvlText w:val="o"/>
      <w:lvlJc w:val="left"/>
      <w:pPr>
        <w:ind w:left="1440" w:hanging="360"/>
      </w:pPr>
      <w:rPr>
        <w:rFonts w:ascii="OpenSymbol" w:eastAsia="OpenSymbol" w:hAnsi="OpenSymbol" w:cs="OpenSymbol"/>
      </w:rPr>
    </w:lvl>
    <w:lvl w:ilvl="3">
      <w:numFmt w:val="bullet"/>
      <w:lvlText w:val="o"/>
      <w:lvlJc w:val="left"/>
      <w:pPr>
        <w:ind w:left="1800" w:hanging="360"/>
      </w:pPr>
      <w:rPr>
        <w:rFonts w:ascii="OpenSymbol" w:eastAsia="OpenSymbol" w:hAnsi="OpenSymbol" w:cs="OpenSymbol"/>
      </w:rPr>
    </w:lvl>
    <w:lvl w:ilvl="4">
      <w:numFmt w:val="bullet"/>
      <w:lvlText w:val="o"/>
      <w:lvlJc w:val="left"/>
      <w:pPr>
        <w:ind w:left="2160" w:hanging="360"/>
      </w:pPr>
      <w:rPr>
        <w:rFonts w:ascii="OpenSymbol" w:eastAsia="OpenSymbol" w:hAnsi="OpenSymbol" w:cs="OpenSymbol"/>
      </w:rPr>
    </w:lvl>
    <w:lvl w:ilvl="5">
      <w:numFmt w:val="bullet"/>
      <w:lvlText w:val="o"/>
      <w:lvlJc w:val="left"/>
      <w:pPr>
        <w:ind w:left="2520" w:hanging="360"/>
      </w:pPr>
      <w:rPr>
        <w:rFonts w:ascii="OpenSymbol" w:eastAsia="OpenSymbol" w:hAnsi="OpenSymbol" w:cs="OpenSymbol"/>
      </w:rPr>
    </w:lvl>
    <w:lvl w:ilvl="6">
      <w:numFmt w:val="bullet"/>
      <w:lvlText w:val="o"/>
      <w:lvlJc w:val="left"/>
      <w:pPr>
        <w:ind w:left="2880" w:hanging="360"/>
      </w:pPr>
      <w:rPr>
        <w:rFonts w:ascii="OpenSymbol" w:eastAsia="OpenSymbol" w:hAnsi="OpenSymbol" w:cs="OpenSymbol"/>
      </w:rPr>
    </w:lvl>
    <w:lvl w:ilvl="7">
      <w:numFmt w:val="bullet"/>
      <w:lvlText w:val="o"/>
      <w:lvlJc w:val="left"/>
      <w:pPr>
        <w:ind w:left="3240" w:hanging="360"/>
      </w:pPr>
      <w:rPr>
        <w:rFonts w:ascii="OpenSymbol" w:eastAsia="OpenSymbol" w:hAnsi="OpenSymbol" w:cs="OpenSymbol"/>
      </w:rPr>
    </w:lvl>
    <w:lvl w:ilvl="8">
      <w:numFmt w:val="bullet"/>
      <w:lvlText w:val="o"/>
      <w:lvlJc w:val="left"/>
      <w:pPr>
        <w:ind w:left="3600" w:hanging="360"/>
      </w:pPr>
      <w:rPr>
        <w:rFonts w:ascii="OpenSymbol" w:eastAsia="OpenSymbol" w:hAnsi="OpenSymbol" w:cs="OpenSymbol"/>
      </w:rPr>
    </w:lvl>
  </w:abstractNum>
  <w:abstractNum w:abstractNumId="5" w15:restartNumberingAfterBreak="0">
    <w:nsid w:val="2F96398A"/>
    <w:multiLevelType w:val="hybridMultilevel"/>
    <w:tmpl w:val="28F46FAA"/>
    <w:lvl w:ilvl="0" w:tplc="040C0001">
      <w:start w:val="1"/>
      <w:numFmt w:val="bullet"/>
      <w:lvlText w:val=""/>
      <w:lvlJc w:val="left"/>
      <w:pPr>
        <w:ind w:left="1231" w:hanging="360"/>
      </w:pPr>
      <w:rPr>
        <w:rFonts w:ascii="Symbol" w:hAnsi="Symbol"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6" w15:restartNumberingAfterBreak="0">
    <w:nsid w:val="33271599"/>
    <w:multiLevelType w:val="hybridMultilevel"/>
    <w:tmpl w:val="AB10F556"/>
    <w:lvl w:ilvl="0" w:tplc="040C000B">
      <w:start w:val="1"/>
      <w:numFmt w:val="bullet"/>
      <w:lvlText w:val=""/>
      <w:lvlJc w:val="left"/>
      <w:pPr>
        <w:ind w:left="2880" w:hanging="360"/>
      </w:pPr>
      <w:rPr>
        <w:rFonts w:ascii="Wingdings" w:hAnsi="Wingdings" w:hint="default"/>
      </w:rPr>
    </w:lvl>
    <w:lvl w:ilvl="1" w:tplc="040C0003">
      <w:start w:val="1"/>
      <w:numFmt w:val="bullet"/>
      <w:lvlText w:val="o"/>
      <w:lvlJc w:val="left"/>
      <w:pPr>
        <w:ind w:left="3600" w:hanging="360"/>
      </w:pPr>
      <w:rPr>
        <w:rFonts w:ascii="Courier New" w:hAnsi="Courier New" w:cs="Courier New" w:hint="default"/>
      </w:rPr>
    </w:lvl>
    <w:lvl w:ilvl="2" w:tplc="040C0005">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start w:val="1"/>
      <w:numFmt w:val="bullet"/>
      <w:lvlText w:val="o"/>
      <w:lvlJc w:val="left"/>
      <w:pPr>
        <w:ind w:left="5760" w:hanging="360"/>
      </w:pPr>
      <w:rPr>
        <w:rFonts w:ascii="Courier New" w:hAnsi="Courier New" w:cs="Courier New" w:hint="default"/>
      </w:rPr>
    </w:lvl>
    <w:lvl w:ilvl="5" w:tplc="040C0005">
      <w:start w:val="1"/>
      <w:numFmt w:val="bullet"/>
      <w:lvlText w:val=""/>
      <w:lvlJc w:val="left"/>
      <w:pPr>
        <w:ind w:left="6480" w:hanging="360"/>
      </w:pPr>
      <w:rPr>
        <w:rFonts w:ascii="Wingdings" w:hAnsi="Wingdings" w:hint="default"/>
      </w:rPr>
    </w:lvl>
    <w:lvl w:ilvl="6" w:tplc="040C0001">
      <w:start w:val="1"/>
      <w:numFmt w:val="bullet"/>
      <w:lvlText w:val=""/>
      <w:lvlJc w:val="left"/>
      <w:pPr>
        <w:ind w:left="7200" w:hanging="360"/>
      </w:pPr>
      <w:rPr>
        <w:rFonts w:ascii="Symbol" w:hAnsi="Symbol" w:hint="default"/>
      </w:rPr>
    </w:lvl>
    <w:lvl w:ilvl="7" w:tplc="040C0003">
      <w:start w:val="1"/>
      <w:numFmt w:val="bullet"/>
      <w:lvlText w:val="o"/>
      <w:lvlJc w:val="left"/>
      <w:pPr>
        <w:ind w:left="7920" w:hanging="360"/>
      </w:pPr>
      <w:rPr>
        <w:rFonts w:ascii="Courier New" w:hAnsi="Courier New" w:cs="Courier New" w:hint="default"/>
      </w:rPr>
    </w:lvl>
    <w:lvl w:ilvl="8" w:tplc="040C0005">
      <w:start w:val="1"/>
      <w:numFmt w:val="bullet"/>
      <w:lvlText w:val=""/>
      <w:lvlJc w:val="left"/>
      <w:pPr>
        <w:ind w:left="8640" w:hanging="360"/>
      </w:pPr>
      <w:rPr>
        <w:rFonts w:ascii="Wingdings" w:hAnsi="Wingdings" w:hint="default"/>
      </w:rPr>
    </w:lvl>
  </w:abstractNum>
  <w:abstractNum w:abstractNumId="7" w15:restartNumberingAfterBreak="0">
    <w:nsid w:val="365E77CC"/>
    <w:multiLevelType w:val="multilevel"/>
    <w:tmpl w:val="36DCFECA"/>
    <w:styleLink w:val="WWNum1"/>
    <w:lvl w:ilvl="0">
      <w:numFmt w:val="bullet"/>
      <w:lvlText w:val="o"/>
      <w:lvlJc w:val="left"/>
      <w:pPr>
        <w:ind w:left="720" w:hanging="360"/>
      </w:pPr>
      <w:rPr>
        <w:rFonts w:ascii="OpenSymbol" w:eastAsia="OpenSymbol" w:hAnsi="OpenSymbol" w:cs="Open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eastAsia="Apto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7B42955"/>
    <w:multiLevelType w:val="hybridMultilevel"/>
    <w:tmpl w:val="597674DE"/>
    <w:lvl w:ilvl="0" w:tplc="BC0EFC10">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D542D9A8">
      <w:numFmt w:val="bullet"/>
      <w:lvlText w:val=""/>
      <w:lvlJc w:val="left"/>
      <w:pPr>
        <w:ind w:left="2160" w:hanging="360"/>
      </w:pPr>
      <w:rPr>
        <w:rFonts w:ascii="Wingdings" w:eastAsia="Aptos" w:hAnsi="Wingdings"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D9113A3"/>
    <w:multiLevelType w:val="hybridMultilevel"/>
    <w:tmpl w:val="8A5A2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6C3F51"/>
    <w:multiLevelType w:val="hybridMultilevel"/>
    <w:tmpl w:val="23E8EE2C"/>
    <w:lvl w:ilvl="0" w:tplc="040C000B">
      <w:start w:val="1"/>
      <w:numFmt w:val="bullet"/>
      <w:lvlText w:val=""/>
      <w:lvlJc w:val="left"/>
      <w:pPr>
        <w:ind w:left="2856" w:hanging="360"/>
      </w:pPr>
      <w:rPr>
        <w:rFonts w:ascii="Wingdings" w:hAnsi="Wingdings" w:hint="default"/>
      </w:rPr>
    </w:lvl>
    <w:lvl w:ilvl="1" w:tplc="040C0003">
      <w:start w:val="1"/>
      <w:numFmt w:val="bullet"/>
      <w:lvlText w:val="o"/>
      <w:lvlJc w:val="left"/>
      <w:pPr>
        <w:ind w:left="3576" w:hanging="360"/>
      </w:pPr>
      <w:rPr>
        <w:rFonts w:ascii="Courier New" w:hAnsi="Courier New" w:cs="Courier New" w:hint="default"/>
      </w:rPr>
    </w:lvl>
    <w:lvl w:ilvl="2" w:tplc="040C0005">
      <w:start w:val="1"/>
      <w:numFmt w:val="bullet"/>
      <w:lvlText w:val=""/>
      <w:lvlJc w:val="left"/>
      <w:pPr>
        <w:ind w:left="4296" w:hanging="360"/>
      </w:pPr>
      <w:rPr>
        <w:rFonts w:ascii="Wingdings" w:hAnsi="Wingdings" w:hint="default"/>
      </w:rPr>
    </w:lvl>
    <w:lvl w:ilvl="3" w:tplc="040C0001">
      <w:start w:val="1"/>
      <w:numFmt w:val="bullet"/>
      <w:lvlText w:val=""/>
      <w:lvlJc w:val="left"/>
      <w:pPr>
        <w:ind w:left="5016" w:hanging="360"/>
      </w:pPr>
      <w:rPr>
        <w:rFonts w:ascii="Symbol" w:hAnsi="Symbol" w:hint="default"/>
      </w:rPr>
    </w:lvl>
    <w:lvl w:ilvl="4" w:tplc="040C0003">
      <w:start w:val="1"/>
      <w:numFmt w:val="bullet"/>
      <w:lvlText w:val="o"/>
      <w:lvlJc w:val="left"/>
      <w:pPr>
        <w:ind w:left="5736" w:hanging="360"/>
      </w:pPr>
      <w:rPr>
        <w:rFonts w:ascii="Courier New" w:hAnsi="Courier New" w:cs="Courier New" w:hint="default"/>
      </w:rPr>
    </w:lvl>
    <w:lvl w:ilvl="5" w:tplc="040C0005">
      <w:start w:val="1"/>
      <w:numFmt w:val="bullet"/>
      <w:lvlText w:val=""/>
      <w:lvlJc w:val="left"/>
      <w:pPr>
        <w:ind w:left="6456" w:hanging="360"/>
      </w:pPr>
      <w:rPr>
        <w:rFonts w:ascii="Wingdings" w:hAnsi="Wingdings" w:hint="default"/>
      </w:rPr>
    </w:lvl>
    <w:lvl w:ilvl="6" w:tplc="040C0001">
      <w:start w:val="1"/>
      <w:numFmt w:val="bullet"/>
      <w:lvlText w:val=""/>
      <w:lvlJc w:val="left"/>
      <w:pPr>
        <w:ind w:left="7176" w:hanging="360"/>
      </w:pPr>
      <w:rPr>
        <w:rFonts w:ascii="Symbol" w:hAnsi="Symbol" w:hint="default"/>
      </w:rPr>
    </w:lvl>
    <w:lvl w:ilvl="7" w:tplc="040C0003">
      <w:start w:val="1"/>
      <w:numFmt w:val="bullet"/>
      <w:lvlText w:val="o"/>
      <w:lvlJc w:val="left"/>
      <w:pPr>
        <w:ind w:left="7896" w:hanging="360"/>
      </w:pPr>
      <w:rPr>
        <w:rFonts w:ascii="Courier New" w:hAnsi="Courier New" w:cs="Courier New" w:hint="default"/>
      </w:rPr>
    </w:lvl>
    <w:lvl w:ilvl="8" w:tplc="040C0005">
      <w:start w:val="1"/>
      <w:numFmt w:val="bullet"/>
      <w:lvlText w:val=""/>
      <w:lvlJc w:val="left"/>
      <w:pPr>
        <w:ind w:left="8616" w:hanging="360"/>
      </w:pPr>
      <w:rPr>
        <w:rFonts w:ascii="Wingdings" w:hAnsi="Wingdings" w:hint="default"/>
      </w:rPr>
    </w:lvl>
  </w:abstractNum>
  <w:abstractNum w:abstractNumId="11" w15:restartNumberingAfterBreak="0">
    <w:nsid w:val="4F053BA6"/>
    <w:multiLevelType w:val="hybridMultilevel"/>
    <w:tmpl w:val="C2A01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2526F8"/>
    <w:multiLevelType w:val="multilevel"/>
    <w:tmpl w:val="6A1E5D78"/>
    <w:lvl w:ilvl="0">
      <w:numFmt w:val="bullet"/>
      <w:lvlText w:val="o"/>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DCD4679"/>
    <w:multiLevelType w:val="hybridMultilevel"/>
    <w:tmpl w:val="9E78C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CB544F"/>
    <w:multiLevelType w:val="hybridMultilevel"/>
    <w:tmpl w:val="41B89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266653">
    <w:abstractNumId w:val="8"/>
  </w:num>
  <w:num w:numId="2" w16cid:durableId="1898929209">
    <w:abstractNumId w:val="6"/>
  </w:num>
  <w:num w:numId="3" w16cid:durableId="296183477">
    <w:abstractNumId w:val="2"/>
  </w:num>
  <w:num w:numId="4" w16cid:durableId="1257665959">
    <w:abstractNumId w:val="10"/>
  </w:num>
  <w:num w:numId="5" w16cid:durableId="554051457">
    <w:abstractNumId w:val="2"/>
  </w:num>
  <w:num w:numId="6" w16cid:durableId="1999992786">
    <w:abstractNumId w:val="0"/>
  </w:num>
  <w:num w:numId="7" w16cid:durableId="1152990862">
    <w:abstractNumId w:val="3"/>
  </w:num>
  <w:num w:numId="8" w16cid:durableId="461848566">
    <w:abstractNumId w:val="7"/>
  </w:num>
  <w:num w:numId="9" w16cid:durableId="779885037">
    <w:abstractNumId w:val="12"/>
  </w:num>
  <w:num w:numId="10" w16cid:durableId="1452939968">
    <w:abstractNumId w:val="4"/>
  </w:num>
  <w:num w:numId="11" w16cid:durableId="325859172">
    <w:abstractNumId w:val="5"/>
  </w:num>
  <w:num w:numId="12" w16cid:durableId="1035158188">
    <w:abstractNumId w:val="1"/>
  </w:num>
  <w:num w:numId="13" w16cid:durableId="1642227503">
    <w:abstractNumId w:val="9"/>
  </w:num>
  <w:num w:numId="14" w16cid:durableId="1493252559">
    <w:abstractNumId w:val="14"/>
  </w:num>
  <w:num w:numId="15" w16cid:durableId="404423077">
    <w:abstractNumId w:val="11"/>
  </w:num>
  <w:num w:numId="16" w16cid:durableId="18140597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B4"/>
    <w:rsid w:val="000F4D87"/>
    <w:rsid w:val="001562DA"/>
    <w:rsid w:val="002235F7"/>
    <w:rsid w:val="0041091E"/>
    <w:rsid w:val="00532202"/>
    <w:rsid w:val="00540682"/>
    <w:rsid w:val="00565919"/>
    <w:rsid w:val="005B3C14"/>
    <w:rsid w:val="005C64B2"/>
    <w:rsid w:val="006B7060"/>
    <w:rsid w:val="00746EB8"/>
    <w:rsid w:val="007A2891"/>
    <w:rsid w:val="007B2D3A"/>
    <w:rsid w:val="00916230"/>
    <w:rsid w:val="00933020"/>
    <w:rsid w:val="009B0A9D"/>
    <w:rsid w:val="009D3B69"/>
    <w:rsid w:val="00B727C2"/>
    <w:rsid w:val="00B970FB"/>
    <w:rsid w:val="00BB212E"/>
    <w:rsid w:val="00CB0197"/>
    <w:rsid w:val="00EF69EF"/>
    <w:rsid w:val="00F764B4"/>
    <w:rsid w:val="00FA076B"/>
    <w:rsid w:val="00FA2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6EE8"/>
  <w15:chartTrackingRefBased/>
  <w15:docId w15:val="{A6002831-B691-41C0-BC30-BB58B407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imes New Roman"/>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3A"/>
  </w:style>
  <w:style w:type="paragraph" w:styleId="Titre1">
    <w:name w:val="heading 1"/>
    <w:basedOn w:val="Titre2"/>
    <w:next w:val="Normal"/>
    <w:link w:val="Titre1Car"/>
    <w:uiPriority w:val="9"/>
    <w:qFormat/>
    <w:rsid w:val="00CB0197"/>
    <w:pPr>
      <w:jc w:val="both"/>
      <w:outlineLvl w:val="0"/>
    </w:pPr>
  </w:style>
  <w:style w:type="paragraph" w:styleId="Titre2">
    <w:name w:val="heading 2"/>
    <w:basedOn w:val="Normal"/>
    <w:next w:val="Normal"/>
    <w:link w:val="Titre2Car"/>
    <w:uiPriority w:val="9"/>
    <w:unhideWhenUsed/>
    <w:qFormat/>
    <w:rsid w:val="005C64B2"/>
    <w:pPr>
      <w:outlineLvl w:val="1"/>
    </w:pPr>
    <w:rPr>
      <w:b/>
      <w:bCs/>
      <w:color w:val="44546A" w:themeColor="text2"/>
      <w:sz w:val="32"/>
      <w:szCs w:val="32"/>
    </w:rPr>
  </w:style>
  <w:style w:type="paragraph" w:styleId="Titre3">
    <w:name w:val="heading 3"/>
    <w:basedOn w:val="Normal"/>
    <w:next w:val="Normal"/>
    <w:link w:val="Titre3Car"/>
    <w:uiPriority w:val="9"/>
    <w:semiHidden/>
    <w:unhideWhenUsed/>
    <w:qFormat/>
    <w:rsid w:val="00F764B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764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F764B4"/>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F764B4"/>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764B4"/>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764B4"/>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764B4"/>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edocument">
    <w:name w:val="Titre de document"/>
    <w:basedOn w:val="Titre"/>
    <w:link w:val="TitrededocumentCar"/>
    <w:autoRedefine/>
    <w:qFormat/>
    <w:rsid w:val="005C64B2"/>
    <w:rPr>
      <w:sz w:val="40"/>
      <w:szCs w:val="40"/>
    </w:rPr>
  </w:style>
  <w:style w:type="character" w:customStyle="1" w:styleId="TitrededocumentCar">
    <w:name w:val="Titre de document Car"/>
    <w:basedOn w:val="TitreCar"/>
    <w:link w:val="Titrededocument"/>
    <w:rsid w:val="005C64B2"/>
    <w:rPr>
      <w:rFonts w:ascii="Avenir Next LT Pro" w:hAnsi="Avenir Next LT Pro"/>
      <w:b/>
      <w:bCs/>
      <w:color w:val="DE8322"/>
      <w:sz w:val="40"/>
      <w:szCs w:val="40"/>
    </w:rPr>
  </w:style>
  <w:style w:type="paragraph" w:styleId="Titre">
    <w:name w:val="Title"/>
    <w:basedOn w:val="Normal"/>
    <w:next w:val="Normal"/>
    <w:link w:val="TitreCar"/>
    <w:uiPriority w:val="10"/>
    <w:qFormat/>
    <w:rsid w:val="00565919"/>
    <w:rPr>
      <w:b/>
      <w:bCs/>
      <w:color w:val="DE8322"/>
      <w:sz w:val="80"/>
      <w:szCs w:val="80"/>
    </w:rPr>
  </w:style>
  <w:style w:type="character" w:customStyle="1" w:styleId="TitreCar">
    <w:name w:val="Titre Car"/>
    <w:basedOn w:val="Policepardfaut"/>
    <w:link w:val="Titre"/>
    <w:uiPriority w:val="10"/>
    <w:rsid w:val="00565919"/>
    <w:rPr>
      <w:rFonts w:ascii="Avenir Next LT Pro" w:hAnsi="Avenir Next LT Pro"/>
      <w:b/>
      <w:bCs/>
      <w:color w:val="DE8322"/>
      <w:sz w:val="80"/>
      <w:szCs w:val="80"/>
    </w:rPr>
  </w:style>
  <w:style w:type="character" w:customStyle="1" w:styleId="Titre2Car">
    <w:name w:val="Titre 2 Car"/>
    <w:basedOn w:val="Policepardfaut"/>
    <w:link w:val="Titre2"/>
    <w:uiPriority w:val="9"/>
    <w:rsid w:val="005C64B2"/>
    <w:rPr>
      <w:b/>
      <w:bCs/>
      <w:color w:val="44546A" w:themeColor="text2"/>
      <w:sz w:val="32"/>
      <w:szCs w:val="32"/>
    </w:rPr>
  </w:style>
  <w:style w:type="paragraph" w:styleId="En-tte">
    <w:name w:val="header"/>
    <w:basedOn w:val="Normal"/>
    <w:link w:val="En-tteCar"/>
    <w:uiPriority w:val="99"/>
    <w:unhideWhenUsed/>
    <w:rsid w:val="00565919"/>
    <w:pPr>
      <w:tabs>
        <w:tab w:val="center" w:pos="4536"/>
        <w:tab w:val="right" w:pos="9072"/>
      </w:tabs>
    </w:pPr>
  </w:style>
  <w:style w:type="character" w:customStyle="1" w:styleId="En-tteCar">
    <w:name w:val="En-tête Car"/>
    <w:basedOn w:val="Policepardfaut"/>
    <w:link w:val="En-tte"/>
    <w:uiPriority w:val="99"/>
    <w:rsid w:val="00565919"/>
  </w:style>
  <w:style w:type="paragraph" w:styleId="Pieddepage">
    <w:name w:val="footer"/>
    <w:basedOn w:val="Normal"/>
    <w:link w:val="PieddepageCar"/>
    <w:uiPriority w:val="99"/>
    <w:unhideWhenUsed/>
    <w:rsid w:val="00565919"/>
    <w:pPr>
      <w:tabs>
        <w:tab w:val="center" w:pos="4536"/>
        <w:tab w:val="right" w:pos="9072"/>
      </w:tabs>
    </w:pPr>
  </w:style>
  <w:style w:type="character" w:customStyle="1" w:styleId="PieddepageCar">
    <w:name w:val="Pied de page Car"/>
    <w:basedOn w:val="Policepardfaut"/>
    <w:link w:val="Pieddepage"/>
    <w:uiPriority w:val="99"/>
    <w:rsid w:val="00565919"/>
  </w:style>
  <w:style w:type="character" w:styleId="Lienhypertexte">
    <w:name w:val="Hyperlink"/>
    <w:basedOn w:val="Policepardfaut"/>
    <w:uiPriority w:val="99"/>
    <w:unhideWhenUsed/>
    <w:rsid w:val="00565919"/>
    <w:rPr>
      <w:color w:val="0563C1" w:themeColor="hyperlink"/>
      <w:u w:val="single"/>
    </w:rPr>
  </w:style>
  <w:style w:type="paragraph" w:styleId="NormalWeb">
    <w:name w:val="Normal (Web)"/>
    <w:basedOn w:val="Normal"/>
    <w:uiPriority w:val="99"/>
    <w:unhideWhenUsed/>
    <w:rsid w:val="00565919"/>
    <w:pPr>
      <w:spacing w:before="100" w:beforeAutospacing="1" w:after="100" w:afterAutospacing="1"/>
    </w:pPr>
    <w:rPr>
      <w:rFonts w:eastAsia="Times New Roman"/>
      <w:kern w:val="0"/>
      <w:lang w:eastAsia="fr-FR"/>
      <w14:ligatures w14:val="none"/>
    </w:rPr>
  </w:style>
  <w:style w:type="paragraph" w:styleId="Paragraphedeliste">
    <w:name w:val="List Paragraph"/>
    <w:basedOn w:val="Normal"/>
    <w:qFormat/>
    <w:rsid w:val="00565919"/>
    <w:pPr>
      <w:ind w:left="720"/>
      <w:contextualSpacing/>
    </w:pPr>
  </w:style>
  <w:style w:type="character" w:styleId="Mentionnonrsolue">
    <w:name w:val="Unresolved Mention"/>
    <w:basedOn w:val="Policepardfaut"/>
    <w:uiPriority w:val="99"/>
    <w:semiHidden/>
    <w:unhideWhenUsed/>
    <w:rsid w:val="00565919"/>
    <w:rPr>
      <w:color w:val="605E5C"/>
      <w:shd w:val="clear" w:color="auto" w:fill="E1DFDD"/>
    </w:rPr>
  </w:style>
  <w:style w:type="character" w:customStyle="1" w:styleId="Titre1Car">
    <w:name w:val="Titre 1 Car"/>
    <w:basedOn w:val="Policepardfaut"/>
    <w:link w:val="Titre1"/>
    <w:uiPriority w:val="9"/>
    <w:rsid w:val="00CB0197"/>
    <w:rPr>
      <w:b/>
      <w:bCs/>
      <w:color w:val="44546A" w:themeColor="text2"/>
      <w:sz w:val="32"/>
      <w:szCs w:val="32"/>
    </w:rPr>
  </w:style>
  <w:style w:type="character" w:customStyle="1" w:styleId="Titre3Car">
    <w:name w:val="Titre 3 Car"/>
    <w:basedOn w:val="Policepardfaut"/>
    <w:link w:val="Titre3"/>
    <w:uiPriority w:val="9"/>
    <w:semiHidden/>
    <w:rsid w:val="00F764B4"/>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F764B4"/>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F764B4"/>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F764B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764B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764B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764B4"/>
    <w:rPr>
      <w:rFonts w:asciiTheme="minorHAnsi" w:eastAsiaTheme="majorEastAsia" w:hAnsiTheme="minorHAnsi" w:cstheme="majorBidi"/>
      <w:color w:val="272727" w:themeColor="text1" w:themeTint="D8"/>
    </w:rPr>
  </w:style>
  <w:style w:type="paragraph" w:styleId="Sous-titre">
    <w:name w:val="Subtitle"/>
    <w:basedOn w:val="Normal"/>
    <w:next w:val="Normal"/>
    <w:link w:val="Sous-titreCar"/>
    <w:uiPriority w:val="11"/>
    <w:qFormat/>
    <w:rsid w:val="00F764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64B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764B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764B4"/>
    <w:rPr>
      <w:i/>
      <w:iCs/>
      <w:color w:val="404040" w:themeColor="text1" w:themeTint="BF"/>
    </w:rPr>
  </w:style>
  <w:style w:type="character" w:styleId="Accentuationintense">
    <w:name w:val="Intense Emphasis"/>
    <w:basedOn w:val="Policepardfaut"/>
    <w:uiPriority w:val="21"/>
    <w:qFormat/>
    <w:rsid w:val="00F764B4"/>
    <w:rPr>
      <w:i/>
      <w:iCs/>
      <w:color w:val="2F5496" w:themeColor="accent1" w:themeShade="BF"/>
    </w:rPr>
  </w:style>
  <w:style w:type="paragraph" w:styleId="Citationintense">
    <w:name w:val="Intense Quote"/>
    <w:basedOn w:val="Normal"/>
    <w:next w:val="Normal"/>
    <w:link w:val="CitationintenseCar"/>
    <w:uiPriority w:val="30"/>
    <w:qFormat/>
    <w:rsid w:val="00F76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764B4"/>
    <w:rPr>
      <w:i/>
      <w:iCs/>
      <w:color w:val="2F5496" w:themeColor="accent1" w:themeShade="BF"/>
    </w:rPr>
  </w:style>
  <w:style w:type="character" w:styleId="Rfrenceintense">
    <w:name w:val="Intense Reference"/>
    <w:basedOn w:val="Policepardfaut"/>
    <w:uiPriority w:val="32"/>
    <w:qFormat/>
    <w:rsid w:val="00F764B4"/>
    <w:rPr>
      <w:b/>
      <w:bCs/>
      <w:smallCaps/>
      <w:color w:val="2F5496" w:themeColor="accent1" w:themeShade="BF"/>
      <w:spacing w:val="5"/>
    </w:rPr>
  </w:style>
  <w:style w:type="paragraph" w:customStyle="1" w:styleId="Standard">
    <w:name w:val="Standard"/>
    <w:rsid w:val="0041091E"/>
    <w:pPr>
      <w:suppressAutoHyphens/>
      <w:autoSpaceDN w:val="0"/>
      <w:textAlignment w:val="baseline"/>
    </w:pPr>
    <w:rPr>
      <w:rFonts w:ascii="Liberation Serif" w:eastAsia="NSimSun" w:hAnsi="Liberation Serif" w:cs="Lucida Sans"/>
      <w:kern w:val="3"/>
      <w:lang w:eastAsia="zh-CN" w:bidi="hi-IN"/>
      <w14:ligatures w14:val="none"/>
    </w:rPr>
  </w:style>
  <w:style w:type="numbering" w:customStyle="1" w:styleId="WWNum1">
    <w:name w:val="WWNum1"/>
    <w:basedOn w:val="Aucuneliste"/>
    <w:rsid w:val="0041091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9095">
      <w:bodyDiv w:val="1"/>
      <w:marLeft w:val="0"/>
      <w:marRight w:val="0"/>
      <w:marTop w:val="0"/>
      <w:marBottom w:val="0"/>
      <w:divBdr>
        <w:top w:val="none" w:sz="0" w:space="0" w:color="auto"/>
        <w:left w:val="none" w:sz="0" w:space="0" w:color="auto"/>
        <w:bottom w:val="none" w:sz="0" w:space="0" w:color="auto"/>
        <w:right w:val="none" w:sz="0" w:space="0" w:color="auto"/>
      </w:divBdr>
    </w:div>
    <w:div w:id="545722719">
      <w:bodyDiv w:val="1"/>
      <w:marLeft w:val="0"/>
      <w:marRight w:val="0"/>
      <w:marTop w:val="0"/>
      <w:marBottom w:val="0"/>
      <w:divBdr>
        <w:top w:val="none" w:sz="0" w:space="0" w:color="auto"/>
        <w:left w:val="none" w:sz="0" w:space="0" w:color="auto"/>
        <w:bottom w:val="none" w:sz="0" w:space="0" w:color="auto"/>
        <w:right w:val="none" w:sz="0" w:space="0" w:color="auto"/>
      </w:divBdr>
    </w:div>
    <w:div w:id="869562083">
      <w:bodyDiv w:val="1"/>
      <w:marLeft w:val="0"/>
      <w:marRight w:val="0"/>
      <w:marTop w:val="0"/>
      <w:marBottom w:val="0"/>
      <w:divBdr>
        <w:top w:val="none" w:sz="0" w:space="0" w:color="auto"/>
        <w:left w:val="none" w:sz="0" w:space="0" w:color="auto"/>
        <w:bottom w:val="none" w:sz="0" w:space="0" w:color="auto"/>
        <w:right w:val="none" w:sz="0" w:space="0" w:color="auto"/>
      </w:divBdr>
    </w:div>
    <w:div w:id="1260677941">
      <w:bodyDiv w:val="1"/>
      <w:marLeft w:val="0"/>
      <w:marRight w:val="0"/>
      <w:marTop w:val="0"/>
      <w:marBottom w:val="0"/>
      <w:divBdr>
        <w:top w:val="none" w:sz="0" w:space="0" w:color="auto"/>
        <w:left w:val="none" w:sz="0" w:space="0" w:color="auto"/>
        <w:bottom w:val="none" w:sz="0" w:space="0" w:color="auto"/>
        <w:right w:val="none" w:sz="0" w:space="0" w:color="auto"/>
      </w:divBdr>
    </w:div>
    <w:div w:id="1883787435">
      <w:bodyDiv w:val="1"/>
      <w:marLeft w:val="0"/>
      <w:marRight w:val="0"/>
      <w:marTop w:val="0"/>
      <w:marBottom w:val="0"/>
      <w:divBdr>
        <w:top w:val="none" w:sz="0" w:space="0" w:color="auto"/>
        <w:left w:val="none" w:sz="0" w:space="0" w:color="auto"/>
        <w:bottom w:val="none" w:sz="0" w:space="0" w:color="auto"/>
        <w:right w:val="none" w:sz="0" w:space="0" w:color="auto"/>
      </w:divBdr>
    </w:div>
    <w:div w:id="19914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1410</Words>
  <Characters>7759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DENIZET</dc:creator>
  <cp:keywords/>
  <dc:description/>
  <cp:lastModifiedBy>Kévin DENIZET</cp:lastModifiedBy>
  <cp:revision>9</cp:revision>
  <cp:lastPrinted>2025-06-10T12:12:00Z</cp:lastPrinted>
  <dcterms:created xsi:type="dcterms:W3CDTF">2025-06-10T11:19:00Z</dcterms:created>
  <dcterms:modified xsi:type="dcterms:W3CDTF">2025-06-12T14:56:00Z</dcterms:modified>
</cp:coreProperties>
</file>